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545C76" w:rsidRDefault="00743E4B">
      <w:pPr>
        <w:rPr>
          <w:rFonts w:ascii="Times New Roman" w:hAnsi="Times New Roman" w:cs="Times New Roman"/>
          <w:color w:val="17365D" w:themeColor="text2" w:themeShade="BF"/>
          <w:sz w:val="20"/>
          <w:szCs w:val="20"/>
        </w:rPr>
      </w:pPr>
    </w:p>
    <w:p w:rsidR="001435B2" w:rsidRPr="00545C76" w:rsidRDefault="001435B2">
      <w:pPr>
        <w:rPr>
          <w:rFonts w:ascii="Times New Roman" w:hAnsi="Times New Roman" w:cs="Times New Roman"/>
          <w:color w:val="17365D" w:themeColor="text2" w:themeShade="BF"/>
          <w:sz w:val="20"/>
          <w:szCs w:val="20"/>
        </w:rPr>
      </w:pPr>
    </w:p>
    <w:p w:rsidR="001435B2" w:rsidRPr="00545C76" w:rsidRDefault="00545C76" w:rsidP="001435B2">
      <w:pPr>
        <w:pStyle w:val="NormalWeb"/>
        <w:spacing w:before="0" w:beforeAutospacing="0" w:after="0" w:afterAutospacing="0" w:line="276" w:lineRule="auto"/>
        <w:rPr>
          <w:b/>
          <w:color w:val="17365D" w:themeColor="text2" w:themeShade="BF"/>
          <w:sz w:val="20"/>
          <w:szCs w:val="20"/>
          <w:u w:val="single"/>
        </w:rPr>
      </w:pPr>
      <w:r w:rsidRPr="00545C76">
        <w:rPr>
          <w:b/>
          <w:color w:val="17365D" w:themeColor="text2" w:themeShade="BF"/>
          <w:sz w:val="20"/>
          <w:szCs w:val="20"/>
          <w:u w:val="single"/>
        </w:rPr>
        <w:t>10</w:t>
      </w:r>
      <w:r w:rsidR="001435B2" w:rsidRPr="00545C76">
        <w:rPr>
          <w:b/>
          <w:color w:val="17365D" w:themeColor="text2" w:themeShade="BF"/>
          <w:sz w:val="20"/>
          <w:szCs w:val="20"/>
          <w:u w:val="single"/>
        </w:rPr>
        <w:t xml:space="preserve"> A</w:t>
      </w:r>
      <w:r w:rsidRPr="00545C76">
        <w:rPr>
          <w:b/>
          <w:color w:val="17365D" w:themeColor="text2" w:themeShade="BF"/>
          <w:sz w:val="20"/>
          <w:szCs w:val="20"/>
          <w:u w:val="single"/>
        </w:rPr>
        <w:t>ralık 2009,</w:t>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r>
      <w:r w:rsidRPr="00545C76">
        <w:rPr>
          <w:b/>
          <w:color w:val="17365D" w:themeColor="text2" w:themeShade="BF"/>
          <w:sz w:val="20"/>
          <w:szCs w:val="20"/>
          <w:u w:val="single"/>
        </w:rPr>
        <w:tab/>
        <w:t>Sayı: 27428</w:t>
      </w:r>
    </w:p>
    <w:p w:rsidR="00BB0295" w:rsidRPr="00545C76" w:rsidRDefault="00BB0295" w:rsidP="00BB0295">
      <w:pPr>
        <w:pStyle w:val="NormalWeb"/>
        <w:spacing w:before="0" w:beforeAutospacing="0" w:after="0" w:afterAutospacing="0" w:line="276" w:lineRule="auto"/>
        <w:rPr>
          <w:color w:val="17365D" w:themeColor="text2" w:themeShade="BF"/>
          <w:sz w:val="20"/>
          <w:szCs w:val="20"/>
        </w:rPr>
      </w:pPr>
    </w:p>
    <w:p w:rsidR="00545C76" w:rsidRPr="00545C76" w:rsidRDefault="00545C76" w:rsidP="00545C76">
      <w:pPr>
        <w:pStyle w:val="NormalWeb"/>
        <w:spacing w:before="0" w:beforeAutospacing="0" w:after="0" w:afterAutospacing="0" w:line="276" w:lineRule="auto"/>
        <w:rPr>
          <w:b/>
          <w:color w:val="17365D" w:themeColor="text2" w:themeShade="BF"/>
          <w:sz w:val="20"/>
          <w:szCs w:val="20"/>
        </w:rPr>
      </w:pPr>
      <w:r w:rsidRPr="00545C76">
        <w:rPr>
          <w:b/>
          <w:color w:val="17365D" w:themeColor="text2" w:themeShade="BF"/>
          <w:sz w:val="20"/>
          <w:szCs w:val="20"/>
        </w:rPr>
        <w:t>Gümrük Müsteşarlığından:</w:t>
      </w:r>
    </w:p>
    <w:p w:rsidR="00545C76" w:rsidRPr="00545C76" w:rsidRDefault="00545C76" w:rsidP="00545C76">
      <w:pPr>
        <w:pStyle w:val="NormalWeb"/>
        <w:spacing w:before="0" w:beforeAutospacing="0" w:after="0" w:afterAutospacing="0" w:line="276" w:lineRule="auto"/>
        <w:rPr>
          <w:b/>
          <w:color w:val="17365D" w:themeColor="text2" w:themeShade="BF"/>
          <w:sz w:val="20"/>
          <w:szCs w:val="20"/>
        </w:rPr>
      </w:pPr>
    </w:p>
    <w:p w:rsidR="00545C76" w:rsidRPr="00545C76" w:rsidRDefault="00545C76" w:rsidP="00545C76">
      <w:pPr>
        <w:pStyle w:val="2-ortabaslk"/>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w:t>
      </w:r>
    </w:p>
    <w:p w:rsidR="00545C76" w:rsidRPr="00545C76" w:rsidRDefault="00545C76" w:rsidP="00545C76">
      <w:pPr>
        <w:pStyle w:val="2-ortabaslk"/>
        <w:spacing w:before="0" w:beforeAutospacing="0" w:after="0" w:afterAutospacing="0" w:line="276" w:lineRule="auto"/>
        <w:jc w:val="center"/>
        <w:rPr>
          <w:color w:val="17365D" w:themeColor="text2" w:themeShade="BF"/>
          <w:sz w:val="20"/>
          <w:szCs w:val="20"/>
        </w:rPr>
      </w:pPr>
      <w:r w:rsidRPr="00545C76">
        <w:rPr>
          <w:b/>
          <w:bCs/>
          <w:color w:val="17365D" w:themeColor="text2" w:themeShade="BF"/>
          <w:sz w:val="20"/>
          <w:szCs w:val="20"/>
        </w:rPr>
        <w:t>GÜMRÜK GENEL TEBLİĞİNDE DEĞİŞİKLİK YAPILMASINA DAİR TEBLİĞ</w:t>
      </w:r>
    </w:p>
    <w:p w:rsidR="00545C76" w:rsidRPr="00545C76" w:rsidRDefault="00545C76" w:rsidP="00545C76">
      <w:pPr>
        <w:pStyle w:val="2-ortabaslk"/>
        <w:spacing w:before="0" w:beforeAutospacing="0" w:after="0" w:afterAutospacing="0" w:line="276" w:lineRule="auto"/>
        <w:jc w:val="center"/>
        <w:rPr>
          <w:color w:val="17365D" w:themeColor="text2" w:themeShade="BF"/>
          <w:sz w:val="20"/>
          <w:szCs w:val="20"/>
        </w:rPr>
      </w:pPr>
      <w:r w:rsidRPr="00545C76">
        <w:rPr>
          <w:b/>
          <w:bCs/>
          <w:color w:val="17365D" w:themeColor="text2" w:themeShade="BF"/>
          <w:sz w:val="20"/>
          <w:szCs w:val="20"/>
        </w:rPr>
        <w:t>(GÜMRÜK İŞLEMLERİ) (SERİ NO: 75)</w:t>
      </w:r>
    </w:p>
    <w:p w:rsidR="00545C76" w:rsidRPr="00545C76" w:rsidRDefault="00545C76" w:rsidP="00545C76">
      <w:pPr>
        <w:pStyle w:val="2-ortabaslk"/>
        <w:spacing w:before="0" w:beforeAutospacing="0" w:after="0" w:afterAutospacing="0" w:line="276" w:lineRule="auto"/>
        <w:jc w:val="center"/>
        <w:rPr>
          <w:color w:val="17365D" w:themeColor="text2" w:themeShade="BF"/>
          <w:sz w:val="20"/>
          <w:szCs w:val="20"/>
        </w:rPr>
      </w:pPr>
      <w:r w:rsidRPr="00545C76">
        <w:rPr>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MADDE 1 –</w:t>
      </w:r>
      <w:r w:rsidRPr="00545C76">
        <w:rPr>
          <w:rFonts w:ascii="Times New Roman" w:hAnsi="Times New Roman" w:cs="Times New Roman"/>
          <w:color w:val="17365D" w:themeColor="text2" w:themeShade="BF"/>
          <w:sz w:val="20"/>
          <w:szCs w:val="20"/>
        </w:rPr>
        <w:t xml:space="preserve"> </w:t>
      </w:r>
      <w:proofErr w:type="gramStart"/>
      <w:r w:rsidRPr="00545C76">
        <w:rPr>
          <w:rStyle w:val="grame"/>
          <w:rFonts w:ascii="Times New Roman" w:hAnsi="Times New Roman" w:cs="Times New Roman"/>
          <w:color w:val="17365D" w:themeColor="text2" w:themeShade="BF"/>
          <w:sz w:val="20"/>
          <w:szCs w:val="20"/>
        </w:rPr>
        <w:t>3/5/2009</w:t>
      </w:r>
      <w:proofErr w:type="gramEnd"/>
      <w:r w:rsidRPr="00545C76">
        <w:rPr>
          <w:rStyle w:val="grame"/>
          <w:rFonts w:ascii="Times New Roman" w:hAnsi="Times New Roman" w:cs="Times New Roman"/>
          <w:color w:val="17365D" w:themeColor="text2" w:themeShade="BF"/>
          <w:sz w:val="20"/>
          <w:szCs w:val="20"/>
        </w:rPr>
        <w:t xml:space="preserve"> </w:t>
      </w:r>
      <w:r w:rsidRPr="00545C76">
        <w:rPr>
          <w:rFonts w:ascii="Times New Roman" w:hAnsi="Times New Roman" w:cs="Times New Roman"/>
          <w:color w:val="17365D" w:themeColor="text2" w:themeShade="BF"/>
          <w:sz w:val="20"/>
          <w:szCs w:val="20"/>
        </w:rPr>
        <w:t>tarih ve 27217 sayılı Resmî Gazete’de yayımlanan Gümrük Genel Tebliği (Gümrük İşlemleri) (Seri No: 70)’</w:t>
      </w:r>
      <w:proofErr w:type="spellStart"/>
      <w:r w:rsidRPr="00545C76">
        <w:rPr>
          <w:rStyle w:val="spelle"/>
          <w:rFonts w:ascii="Times New Roman" w:hAnsi="Times New Roman" w:cs="Times New Roman"/>
          <w:color w:val="17365D" w:themeColor="text2" w:themeShade="BF"/>
          <w:sz w:val="20"/>
          <w:szCs w:val="20"/>
        </w:rPr>
        <w:t>nin</w:t>
      </w:r>
      <w:proofErr w:type="spellEnd"/>
      <w:r w:rsidRPr="00545C76">
        <w:rPr>
          <w:rFonts w:ascii="Times New Roman" w:hAnsi="Times New Roman" w:cs="Times New Roman"/>
          <w:color w:val="17365D" w:themeColor="text2" w:themeShade="BF"/>
          <w:sz w:val="20"/>
          <w:szCs w:val="20"/>
        </w:rPr>
        <w:t xml:space="preserve"> 1 inci maddesi aşağıdaki şekilde değiştirilmiştir.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“MADDE 1 – </w:t>
      </w:r>
      <w:r w:rsidRPr="00545C76">
        <w:rPr>
          <w:rFonts w:ascii="Times New Roman" w:hAnsi="Times New Roman" w:cs="Times New Roman"/>
          <w:color w:val="17365D" w:themeColor="text2" w:themeShade="BF"/>
          <w:sz w:val="20"/>
          <w:szCs w:val="20"/>
        </w:rPr>
        <w:t xml:space="preserve">(1) Bu Tebliğin amacı ve kapsamı, Türkiye veya Avrupa Topluluğu’nda serbest dolaşımda bulunan eşyanın Gümrük Birliği çerçevesinde tercihli rejimden yararlanabilmesini sağlamak üzere gümrük idaresince vize edilen A.TR dolaşım belgelerinin basımı, dağıtımı, düzenlenmesi ve onaylanmasına ilişkin Gümrük Müsteşarlığınca yetki verilecek kişi, kurum, kuruluşların belirlenmesi ile bunlar tarafından yapılacak işlemlere ilişkin usul ve esasların tespit edilmesi ile fikri ve </w:t>
      </w:r>
      <w:proofErr w:type="gramStart"/>
      <w:r w:rsidRPr="00545C76">
        <w:rPr>
          <w:rStyle w:val="grame"/>
          <w:rFonts w:ascii="Times New Roman" w:hAnsi="Times New Roman" w:cs="Times New Roman"/>
          <w:color w:val="17365D" w:themeColor="text2" w:themeShade="BF"/>
          <w:sz w:val="20"/>
          <w:szCs w:val="20"/>
        </w:rPr>
        <w:t>sınai</w:t>
      </w:r>
      <w:proofErr w:type="gramEnd"/>
      <w:r w:rsidRPr="00545C76">
        <w:rPr>
          <w:rFonts w:ascii="Times New Roman" w:hAnsi="Times New Roman" w:cs="Times New Roman"/>
          <w:color w:val="17365D" w:themeColor="text2" w:themeShade="BF"/>
          <w:sz w:val="20"/>
          <w:szCs w:val="20"/>
        </w:rPr>
        <w:t xml:space="preserve"> hakların ihlali ile ilgili olarak Gümrük İdaresinin harekete geçmesine ilişkin yapılacak başvuru işlemlerinin esaslarının tespit edilmesidir.”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MADDE 2 – </w:t>
      </w:r>
      <w:r w:rsidRPr="00545C76">
        <w:rPr>
          <w:rFonts w:ascii="Times New Roman" w:hAnsi="Times New Roman" w:cs="Times New Roman"/>
          <w:color w:val="17365D" w:themeColor="text2" w:themeShade="BF"/>
          <w:sz w:val="20"/>
          <w:szCs w:val="20"/>
        </w:rPr>
        <w:t xml:space="preserve">Aynı Tebliğin 2 </w:t>
      </w:r>
      <w:proofErr w:type="spellStart"/>
      <w:r w:rsidRPr="00545C76">
        <w:rPr>
          <w:rStyle w:val="spelle"/>
          <w:rFonts w:ascii="Times New Roman" w:hAnsi="Times New Roman" w:cs="Times New Roman"/>
          <w:color w:val="17365D" w:themeColor="text2" w:themeShade="BF"/>
          <w:sz w:val="20"/>
          <w:szCs w:val="20"/>
        </w:rPr>
        <w:t>nci</w:t>
      </w:r>
      <w:proofErr w:type="spellEnd"/>
      <w:r w:rsidRPr="00545C76">
        <w:rPr>
          <w:rFonts w:ascii="Times New Roman" w:hAnsi="Times New Roman" w:cs="Times New Roman"/>
          <w:color w:val="17365D" w:themeColor="text2" w:themeShade="BF"/>
          <w:sz w:val="20"/>
          <w:szCs w:val="20"/>
        </w:rPr>
        <w:t xml:space="preserve"> maddesi aşağıdaki şekilde değiştirilmiştir.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“MADDE 2 – </w:t>
      </w:r>
      <w:r w:rsidRPr="00545C76">
        <w:rPr>
          <w:rFonts w:ascii="Times New Roman" w:hAnsi="Times New Roman" w:cs="Times New Roman"/>
          <w:color w:val="17365D" w:themeColor="text2" w:themeShade="BF"/>
          <w:sz w:val="20"/>
          <w:szCs w:val="20"/>
        </w:rPr>
        <w:t xml:space="preserve">(1) Bu Tebliğ, 2006/10895 sayılı “Türkiye ile Avrupa Topluluğu Arasında Oluşturulan Gümrük Birliğinin Uygulanmasına İlişkin Esaslar Hakkındaki Bakanlar Kurulu Kararı”nın 3 ila 8, 12, 13, 15 ila 17 ve 33 üncü maddeleri ve </w:t>
      </w:r>
      <w:proofErr w:type="gramStart"/>
      <w:r w:rsidRPr="00545C76">
        <w:rPr>
          <w:rStyle w:val="grame"/>
          <w:rFonts w:ascii="Times New Roman" w:hAnsi="Times New Roman" w:cs="Times New Roman"/>
          <w:color w:val="17365D" w:themeColor="text2" w:themeShade="BF"/>
          <w:sz w:val="20"/>
          <w:szCs w:val="20"/>
        </w:rPr>
        <w:t>7/7/2009</w:t>
      </w:r>
      <w:proofErr w:type="gramEnd"/>
      <w:r w:rsidRPr="00545C76">
        <w:rPr>
          <w:rFonts w:ascii="Times New Roman" w:hAnsi="Times New Roman" w:cs="Times New Roman"/>
          <w:color w:val="17365D" w:themeColor="text2" w:themeShade="BF"/>
          <w:sz w:val="20"/>
          <w:szCs w:val="20"/>
        </w:rPr>
        <w:t xml:space="preserve"> tarih ve 27281 Sayılı Resmi Gazete’de yayımlanan 5911 sayılı Kanun ile değişik 27/10/1999 tarihli ve 4458 sayılı Gümrük Kanununun 57 </w:t>
      </w:r>
      <w:proofErr w:type="spellStart"/>
      <w:r w:rsidRPr="00545C76">
        <w:rPr>
          <w:rStyle w:val="spelle"/>
          <w:rFonts w:ascii="Times New Roman" w:hAnsi="Times New Roman" w:cs="Times New Roman"/>
          <w:color w:val="17365D" w:themeColor="text2" w:themeShade="BF"/>
          <w:sz w:val="20"/>
          <w:szCs w:val="20"/>
        </w:rPr>
        <w:t>nci</w:t>
      </w:r>
      <w:proofErr w:type="spellEnd"/>
      <w:r w:rsidRPr="00545C76">
        <w:rPr>
          <w:rFonts w:ascii="Times New Roman" w:hAnsi="Times New Roman" w:cs="Times New Roman"/>
          <w:color w:val="17365D" w:themeColor="text2" w:themeShade="BF"/>
          <w:sz w:val="20"/>
          <w:szCs w:val="20"/>
        </w:rPr>
        <w:t xml:space="preserve"> maddesi ile 7/10/2009 tarihli ve 27369 mükerrer sayılı Resmi Gazete’de yayımlanan Gümrük Yönetmeliğinin 100 ila 111 inci maddelerine istinaden hazırlanmıştır.”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MADDE 3 – </w:t>
      </w:r>
      <w:r w:rsidRPr="00545C76">
        <w:rPr>
          <w:rFonts w:ascii="Times New Roman" w:hAnsi="Times New Roman" w:cs="Times New Roman"/>
          <w:color w:val="17365D" w:themeColor="text2" w:themeShade="BF"/>
          <w:sz w:val="20"/>
          <w:szCs w:val="20"/>
        </w:rPr>
        <w:t>Aynı Tebliğin 9 uncu maddesinden sonra gelmek üzere aşağıdaki madde eklenmiştir.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“Fikri ve </w:t>
      </w:r>
      <w:proofErr w:type="gramStart"/>
      <w:r w:rsidRPr="00545C76">
        <w:rPr>
          <w:rStyle w:val="grame"/>
          <w:rFonts w:ascii="Times New Roman" w:hAnsi="Times New Roman" w:cs="Times New Roman"/>
          <w:b/>
          <w:color w:val="17365D" w:themeColor="text2" w:themeShade="BF"/>
          <w:sz w:val="20"/>
          <w:szCs w:val="20"/>
        </w:rPr>
        <w:t>Sınai</w:t>
      </w:r>
      <w:proofErr w:type="gramEnd"/>
      <w:r w:rsidRPr="00545C76">
        <w:rPr>
          <w:rFonts w:ascii="Times New Roman" w:hAnsi="Times New Roman" w:cs="Times New Roman"/>
          <w:b/>
          <w:color w:val="17365D" w:themeColor="text2" w:themeShade="BF"/>
          <w:sz w:val="20"/>
          <w:szCs w:val="20"/>
        </w:rPr>
        <w:t xml:space="preserve"> Hakların İhlali ile İlgili Olarak Gümrük İdaresinin Harekete Geçmesine İlişkin Yapılacak Başvuru</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b/>
          <w:color w:val="17365D" w:themeColor="text2" w:themeShade="BF"/>
          <w:sz w:val="20"/>
          <w:szCs w:val="20"/>
        </w:rPr>
        <w:t xml:space="preserve">MADDE 9/A – </w:t>
      </w:r>
      <w:r w:rsidRPr="00545C76">
        <w:rPr>
          <w:rFonts w:ascii="Times New Roman" w:hAnsi="Times New Roman" w:cs="Times New Roman"/>
          <w:color w:val="17365D" w:themeColor="text2" w:themeShade="BF"/>
          <w:sz w:val="20"/>
          <w:szCs w:val="20"/>
        </w:rPr>
        <w:t xml:space="preserve">(1) Fikri ve </w:t>
      </w:r>
      <w:proofErr w:type="gramStart"/>
      <w:r w:rsidRPr="00545C76">
        <w:rPr>
          <w:rStyle w:val="grame"/>
          <w:rFonts w:ascii="Times New Roman" w:hAnsi="Times New Roman" w:cs="Times New Roman"/>
          <w:color w:val="17365D" w:themeColor="text2" w:themeShade="BF"/>
          <w:sz w:val="20"/>
          <w:szCs w:val="20"/>
        </w:rPr>
        <w:t>sınai</w:t>
      </w:r>
      <w:proofErr w:type="gramEnd"/>
      <w:r w:rsidRPr="00545C76">
        <w:rPr>
          <w:rFonts w:ascii="Times New Roman" w:hAnsi="Times New Roman" w:cs="Times New Roman"/>
          <w:color w:val="17365D" w:themeColor="text2" w:themeShade="BF"/>
          <w:sz w:val="20"/>
          <w:szCs w:val="20"/>
        </w:rPr>
        <w:t xml:space="preserve"> hakların korunmasına ilişkin başvuru Gümrük Yönetmeliğinin 103 üncü maddesinde belirtilen hükümlere uygun şekilde ve mezkur Yönetmeliğin 13 </w:t>
      </w:r>
      <w:proofErr w:type="spellStart"/>
      <w:r w:rsidRPr="00545C76">
        <w:rPr>
          <w:rStyle w:val="spelle"/>
          <w:rFonts w:ascii="Times New Roman" w:hAnsi="Times New Roman" w:cs="Times New Roman"/>
          <w:color w:val="17365D" w:themeColor="text2" w:themeShade="BF"/>
          <w:sz w:val="20"/>
          <w:szCs w:val="20"/>
        </w:rPr>
        <w:t>nolu</w:t>
      </w:r>
      <w:proofErr w:type="spellEnd"/>
      <w:r w:rsidRPr="00545C76">
        <w:rPr>
          <w:rFonts w:ascii="Times New Roman" w:hAnsi="Times New Roman" w:cs="Times New Roman"/>
          <w:color w:val="17365D" w:themeColor="text2" w:themeShade="BF"/>
          <w:sz w:val="20"/>
          <w:szCs w:val="20"/>
        </w:rPr>
        <w:t xml:space="preserve"> ekinde yer alan başvuru formunun eksiksiz olarak doldurularak Gümrük Müsteşarlığı’na (Gümrükler Genel Müdürlüğü’ne) sunulması şeklinde yapılır.</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t> </w:t>
      </w:r>
    </w:p>
    <w:p w:rsidR="00545C76" w:rsidRPr="00545C76" w:rsidRDefault="00545C76" w:rsidP="00545C76">
      <w:pPr>
        <w:jc w:val="both"/>
        <w:rPr>
          <w:rFonts w:ascii="Times New Roman" w:hAnsi="Times New Roman" w:cs="Times New Roman"/>
          <w:color w:val="17365D" w:themeColor="text2" w:themeShade="BF"/>
          <w:sz w:val="20"/>
          <w:szCs w:val="20"/>
        </w:rPr>
      </w:pPr>
      <w:r w:rsidRPr="00545C76">
        <w:rPr>
          <w:rFonts w:ascii="Times New Roman" w:hAnsi="Times New Roman" w:cs="Times New Roman"/>
          <w:color w:val="17365D" w:themeColor="text2" w:themeShade="BF"/>
          <w:sz w:val="20"/>
          <w:szCs w:val="20"/>
        </w:rPr>
        <w:lastRenderedPageBreak/>
        <w:t>(2) Başvuru formunun 4 no.lu bölümünde işaretlenen kutuya uygun olarak başvuru sahibinin durumunu kanıtlayan bir belge ile 10 no.lu bölümünde yer alan bilgilere uygun olarak hakkın Türkiye’de tescil edildiğini gösteren belgenin formun ekinde ibraz edilmesi gerekmektedir.</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xml:space="preserve">(3) Orijinal eşyaya ilişkin temel ve teknik bilgiler ile sahteciliğin tür ve şekline ilişkin olarak </w:t>
      </w:r>
      <w:proofErr w:type="spellStart"/>
      <w:r w:rsidRPr="00545C76">
        <w:rPr>
          <w:rStyle w:val="spelle"/>
          <w:color w:val="17365D" w:themeColor="text2" w:themeShade="BF"/>
          <w:sz w:val="20"/>
          <w:szCs w:val="20"/>
        </w:rPr>
        <w:t>verilebilcek</w:t>
      </w:r>
      <w:proofErr w:type="spellEnd"/>
      <w:r w:rsidRPr="00545C76">
        <w:rPr>
          <w:color w:val="17365D" w:themeColor="text2" w:themeShade="BF"/>
          <w:sz w:val="20"/>
          <w:szCs w:val="20"/>
        </w:rPr>
        <w:t xml:space="preserve"> bilgilere ilişkin </w:t>
      </w:r>
      <w:proofErr w:type="spellStart"/>
      <w:r w:rsidRPr="00545C76">
        <w:rPr>
          <w:rStyle w:val="spelle"/>
          <w:color w:val="17365D" w:themeColor="text2" w:themeShade="BF"/>
          <w:sz w:val="20"/>
          <w:szCs w:val="20"/>
        </w:rPr>
        <w:t>dökümanların</w:t>
      </w:r>
      <w:proofErr w:type="spellEnd"/>
      <w:r w:rsidRPr="00545C76">
        <w:rPr>
          <w:color w:val="17365D" w:themeColor="text2" w:themeShade="BF"/>
          <w:sz w:val="20"/>
          <w:szCs w:val="20"/>
        </w:rPr>
        <w:t xml:space="preserve"> hem </w:t>
      </w:r>
      <w:proofErr w:type="gramStart"/>
      <w:r w:rsidRPr="00545C76">
        <w:rPr>
          <w:rStyle w:val="grame"/>
          <w:color w:val="17365D" w:themeColor="text2" w:themeShade="BF"/>
          <w:sz w:val="20"/>
          <w:szCs w:val="20"/>
        </w:rPr>
        <w:t>kağıt</w:t>
      </w:r>
      <w:proofErr w:type="gramEnd"/>
      <w:r w:rsidRPr="00545C76">
        <w:rPr>
          <w:color w:val="17365D" w:themeColor="text2" w:themeShade="BF"/>
          <w:sz w:val="20"/>
          <w:szCs w:val="20"/>
        </w:rPr>
        <w:t xml:space="preserve"> ortamında hem de </w:t>
      </w:r>
      <w:proofErr w:type="spellStart"/>
      <w:r w:rsidRPr="00545C76">
        <w:rPr>
          <w:rStyle w:val="spelle"/>
          <w:color w:val="17365D" w:themeColor="text2" w:themeShade="BF"/>
          <w:sz w:val="20"/>
          <w:szCs w:val="20"/>
        </w:rPr>
        <w:t>jpeg</w:t>
      </w:r>
      <w:proofErr w:type="spellEnd"/>
      <w:r w:rsidRPr="00545C76">
        <w:rPr>
          <w:color w:val="17365D" w:themeColor="text2" w:themeShade="BF"/>
          <w:sz w:val="20"/>
          <w:szCs w:val="20"/>
        </w:rPr>
        <w:t xml:space="preserve">, </w:t>
      </w:r>
      <w:proofErr w:type="spellStart"/>
      <w:r w:rsidRPr="00545C76">
        <w:rPr>
          <w:rStyle w:val="spelle"/>
          <w:color w:val="17365D" w:themeColor="text2" w:themeShade="BF"/>
          <w:sz w:val="20"/>
          <w:szCs w:val="20"/>
        </w:rPr>
        <w:t>pdf</w:t>
      </w:r>
      <w:proofErr w:type="spellEnd"/>
      <w:r w:rsidRPr="00545C76">
        <w:rPr>
          <w:color w:val="17365D" w:themeColor="text2" w:themeShade="BF"/>
          <w:sz w:val="20"/>
          <w:szCs w:val="20"/>
        </w:rPr>
        <w:t xml:space="preserve"> veya </w:t>
      </w:r>
      <w:proofErr w:type="spellStart"/>
      <w:r w:rsidRPr="00545C76">
        <w:rPr>
          <w:rStyle w:val="spelle"/>
          <w:color w:val="17365D" w:themeColor="text2" w:themeShade="BF"/>
          <w:sz w:val="20"/>
          <w:szCs w:val="20"/>
        </w:rPr>
        <w:t>doc</w:t>
      </w:r>
      <w:proofErr w:type="spellEnd"/>
      <w:r w:rsidRPr="00545C76">
        <w:rPr>
          <w:color w:val="17365D" w:themeColor="text2" w:themeShade="BF"/>
          <w:sz w:val="20"/>
          <w:szCs w:val="20"/>
        </w:rPr>
        <w:t xml:space="preserve"> uzantılı olarak </w:t>
      </w:r>
      <w:proofErr w:type="spellStart"/>
      <w:r w:rsidRPr="00545C76">
        <w:rPr>
          <w:rStyle w:val="spelle"/>
          <w:color w:val="17365D" w:themeColor="text2" w:themeShade="BF"/>
          <w:sz w:val="20"/>
          <w:szCs w:val="20"/>
        </w:rPr>
        <w:t>cd</w:t>
      </w:r>
      <w:proofErr w:type="spellEnd"/>
      <w:r w:rsidRPr="00545C76">
        <w:rPr>
          <w:color w:val="17365D" w:themeColor="text2" w:themeShade="BF"/>
          <w:sz w:val="20"/>
          <w:szCs w:val="20"/>
        </w:rPr>
        <w:t xml:space="preserve"> ortamında düzenlenerek söz konusu başvuru formuna eklenmesi gerekmektedir.</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 xml:space="preserve">(4) Başvuru sahibi tarafından ibraz edilen ve kapasitesi 1 </w:t>
      </w:r>
      <w:proofErr w:type="spellStart"/>
      <w:r w:rsidRPr="00545C76">
        <w:rPr>
          <w:rStyle w:val="spelle"/>
          <w:color w:val="17365D" w:themeColor="text2" w:themeShade="BF"/>
          <w:sz w:val="20"/>
          <w:szCs w:val="20"/>
        </w:rPr>
        <w:t>megabyte’ı</w:t>
      </w:r>
      <w:proofErr w:type="spellEnd"/>
      <w:r w:rsidRPr="00545C76">
        <w:rPr>
          <w:color w:val="17365D" w:themeColor="text2" w:themeShade="BF"/>
          <w:sz w:val="20"/>
          <w:szCs w:val="20"/>
        </w:rPr>
        <w:t xml:space="preserve"> geçmeyen </w:t>
      </w:r>
      <w:proofErr w:type="spellStart"/>
      <w:r w:rsidRPr="00545C76">
        <w:rPr>
          <w:rStyle w:val="spelle"/>
          <w:color w:val="17365D" w:themeColor="text2" w:themeShade="BF"/>
          <w:sz w:val="20"/>
          <w:szCs w:val="20"/>
        </w:rPr>
        <w:t>cd’de</w:t>
      </w:r>
      <w:proofErr w:type="spellEnd"/>
      <w:r w:rsidRPr="00545C76">
        <w:rPr>
          <w:color w:val="17365D" w:themeColor="text2" w:themeShade="BF"/>
          <w:sz w:val="20"/>
          <w:szCs w:val="20"/>
        </w:rPr>
        <w:t xml:space="preserve"> yer alan bilgi ve belgeler Gümrük Müsteşarlığı tarafından elektronik ortama aktırılır.”</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ab/>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b/>
          <w:color w:val="17365D" w:themeColor="text2" w:themeShade="BF"/>
          <w:sz w:val="20"/>
          <w:szCs w:val="20"/>
        </w:rPr>
        <w:t xml:space="preserve">MADDE 4 – </w:t>
      </w:r>
      <w:r w:rsidRPr="00545C76">
        <w:rPr>
          <w:color w:val="17365D" w:themeColor="text2" w:themeShade="BF"/>
          <w:sz w:val="20"/>
          <w:szCs w:val="20"/>
        </w:rPr>
        <w:t xml:space="preserve">Bu Tebliğ, </w:t>
      </w:r>
      <w:proofErr w:type="gramStart"/>
      <w:r w:rsidRPr="00545C76">
        <w:rPr>
          <w:rStyle w:val="grame"/>
          <w:color w:val="17365D" w:themeColor="text2" w:themeShade="BF"/>
          <w:sz w:val="20"/>
          <w:szCs w:val="20"/>
        </w:rPr>
        <w:t>7/10/2009</w:t>
      </w:r>
      <w:proofErr w:type="gramEnd"/>
      <w:r w:rsidRPr="00545C76">
        <w:rPr>
          <w:color w:val="17365D" w:themeColor="text2" w:themeShade="BF"/>
          <w:sz w:val="20"/>
          <w:szCs w:val="20"/>
        </w:rPr>
        <w:t xml:space="preserve"> tarihinden geçerli olmak üzere yayımı tarihinde yürürlüğe girer.</w:t>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color w:val="17365D" w:themeColor="text2" w:themeShade="BF"/>
          <w:sz w:val="20"/>
          <w:szCs w:val="20"/>
        </w:rPr>
        <w:tab/>
      </w:r>
    </w:p>
    <w:p w:rsidR="00545C76" w:rsidRPr="00545C76" w:rsidRDefault="00545C76" w:rsidP="00545C76">
      <w:pPr>
        <w:pStyle w:val="3-normalyaz"/>
        <w:spacing w:before="0" w:beforeAutospacing="0" w:after="0" w:afterAutospacing="0" w:line="276" w:lineRule="auto"/>
        <w:rPr>
          <w:color w:val="17365D" w:themeColor="text2" w:themeShade="BF"/>
          <w:sz w:val="20"/>
          <w:szCs w:val="20"/>
        </w:rPr>
      </w:pPr>
      <w:r w:rsidRPr="00545C76">
        <w:rPr>
          <w:b/>
          <w:color w:val="17365D" w:themeColor="text2" w:themeShade="BF"/>
          <w:sz w:val="20"/>
          <w:szCs w:val="20"/>
        </w:rPr>
        <w:t xml:space="preserve">MADDE 5 – </w:t>
      </w:r>
      <w:r w:rsidRPr="00545C76">
        <w:rPr>
          <w:color w:val="17365D" w:themeColor="text2" w:themeShade="BF"/>
          <w:sz w:val="20"/>
          <w:szCs w:val="20"/>
        </w:rPr>
        <w:t>Bu Tebliğ hükümlerini Gümrük Müsteşarlığı’nın bağlı olduğu Bakan yürütür.</w:t>
      </w:r>
    </w:p>
    <w:p w:rsidR="00545C76" w:rsidRPr="00545C76" w:rsidRDefault="00545C76" w:rsidP="00BB0295">
      <w:pPr>
        <w:pStyle w:val="NormalWeb"/>
        <w:spacing w:before="0" w:beforeAutospacing="0" w:after="0" w:afterAutospacing="0" w:line="276" w:lineRule="auto"/>
        <w:rPr>
          <w:color w:val="17365D" w:themeColor="text2" w:themeShade="BF"/>
          <w:sz w:val="20"/>
          <w:szCs w:val="20"/>
        </w:rPr>
      </w:pPr>
    </w:p>
    <w:sectPr w:rsidR="00545C76" w:rsidRPr="00545C76"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41E2A"/>
    <w:rsid w:val="001425A9"/>
    <w:rsid w:val="001435B2"/>
    <w:rsid w:val="002E62AC"/>
    <w:rsid w:val="003278EC"/>
    <w:rsid w:val="003665C2"/>
    <w:rsid w:val="003768A6"/>
    <w:rsid w:val="00545C76"/>
    <w:rsid w:val="00624630"/>
    <w:rsid w:val="00655382"/>
    <w:rsid w:val="00670902"/>
    <w:rsid w:val="00743E4B"/>
    <w:rsid w:val="0088492C"/>
    <w:rsid w:val="009039EA"/>
    <w:rsid w:val="009176E1"/>
    <w:rsid w:val="00967CF0"/>
    <w:rsid w:val="009D6F77"/>
    <w:rsid w:val="00A2629B"/>
    <w:rsid w:val="00A60E4F"/>
    <w:rsid w:val="00B06004"/>
    <w:rsid w:val="00BB0295"/>
    <w:rsid w:val="00BC59C8"/>
    <w:rsid w:val="00BD21CF"/>
    <w:rsid w:val="00BD4C2E"/>
    <w:rsid w:val="00BE4E9B"/>
    <w:rsid w:val="00C226A1"/>
    <w:rsid w:val="00D82C75"/>
    <w:rsid w:val="00DD4B90"/>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453</Words>
  <Characters>2585</Characters>
  <Application>Microsoft Office Word</Application>
  <DocSecurity>0</DocSecurity>
  <Lines>21</Lines>
  <Paragraphs>6</Paragraphs>
  <ScaleCrop>false</ScaleCrop>
  <Company>TURMOB</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cp:revision>
  <dcterms:created xsi:type="dcterms:W3CDTF">2009-12-01T07:12:00Z</dcterms:created>
  <dcterms:modified xsi:type="dcterms:W3CDTF">2009-12-10T06:46:00Z</dcterms:modified>
</cp:coreProperties>
</file>