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CF4AE2" w:rsidRDefault="00743E4B">
      <w:pPr>
        <w:rPr>
          <w:rFonts w:ascii="Times New Roman" w:hAnsi="Times New Roman" w:cs="Times New Roman"/>
          <w:color w:val="17365D" w:themeColor="text2" w:themeShade="BF"/>
          <w:sz w:val="20"/>
          <w:szCs w:val="20"/>
        </w:rPr>
      </w:pPr>
    </w:p>
    <w:p w:rsidR="001435B2" w:rsidRPr="00CF4AE2" w:rsidRDefault="001435B2">
      <w:pPr>
        <w:rPr>
          <w:rFonts w:ascii="Times New Roman" w:hAnsi="Times New Roman" w:cs="Times New Roman"/>
          <w:color w:val="17365D" w:themeColor="text2" w:themeShade="BF"/>
          <w:sz w:val="20"/>
          <w:szCs w:val="20"/>
        </w:rPr>
      </w:pPr>
    </w:p>
    <w:p w:rsidR="001435B2" w:rsidRPr="00CF4AE2" w:rsidRDefault="00545C76" w:rsidP="001435B2">
      <w:pPr>
        <w:pStyle w:val="NormalWeb"/>
        <w:spacing w:before="0" w:beforeAutospacing="0" w:after="0" w:afterAutospacing="0" w:line="276" w:lineRule="auto"/>
        <w:rPr>
          <w:b/>
          <w:color w:val="17365D" w:themeColor="text2" w:themeShade="BF"/>
          <w:sz w:val="20"/>
          <w:szCs w:val="20"/>
          <w:u w:val="single"/>
        </w:rPr>
      </w:pPr>
      <w:r w:rsidRPr="00CF4AE2">
        <w:rPr>
          <w:b/>
          <w:color w:val="17365D" w:themeColor="text2" w:themeShade="BF"/>
          <w:sz w:val="20"/>
          <w:szCs w:val="20"/>
          <w:u w:val="single"/>
        </w:rPr>
        <w:t>10</w:t>
      </w:r>
      <w:r w:rsidR="001435B2" w:rsidRPr="00CF4AE2">
        <w:rPr>
          <w:b/>
          <w:color w:val="17365D" w:themeColor="text2" w:themeShade="BF"/>
          <w:sz w:val="20"/>
          <w:szCs w:val="20"/>
          <w:u w:val="single"/>
        </w:rPr>
        <w:t xml:space="preserve"> A</w:t>
      </w:r>
      <w:r w:rsidRPr="00CF4AE2">
        <w:rPr>
          <w:b/>
          <w:color w:val="17365D" w:themeColor="text2" w:themeShade="BF"/>
          <w:sz w:val="20"/>
          <w:szCs w:val="20"/>
          <w:u w:val="single"/>
        </w:rPr>
        <w:t>ralık 2009,</w:t>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r>
      <w:r w:rsidRPr="00CF4AE2">
        <w:rPr>
          <w:b/>
          <w:color w:val="17365D" w:themeColor="text2" w:themeShade="BF"/>
          <w:sz w:val="20"/>
          <w:szCs w:val="20"/>
          <w:u w:val="single"/>
        </w:rPr>
        <w:tab/>
        <w:t>Sayı: 27428</w:t>
      </w:r>
    </w:p>
    <w:p w:rsidR="00BB0295" w:rsidRPr="00CF4AE2" w:rsidRDefault="00BB0295" w:rsidP="00BB0295">
      <w:pPr>
        <w:pStyle w:val="NormalWeb"/>
        <w:spacing w:before="0" w:beforeAutospacing="0" w:after="0" w:afterAutospacing="0" w:line="276" w:lineRule="auto"/>
        <w:rPr>
          <w:color w:val="17365D" w:themeColor="text2" w:themeShade="BF"/>
          <w:sz w:val="20"/>
          <w:szCs w:val="20"/>
        </w:rPr>
      </w:pPr>
    </w:p>
    <w:p w:rsidR="00CF4AE2" w:rsidRPr="00CF4AE2" w:rsidRDefault="00CF4AE2" w:rsidP="00CF4AE2">
      <w:pPr>
        <w:pStyle w:val="NormalWeb"/>
        <w:spacing w:before="0" w:beforeAutospacing="0" w:after="0" w:afterAutospacing="0" w:line="276" w:lineRule="auto"/>
        <w:rPr>
          <w:b/>
          <w:color w:val="17365D" w:themeColor="text2" w:themeShade="BF"/>
          <w:sz w:val="20"/>
          <w:szCs w:val="20"/>
        </w:rPr>
      </w:pPr>
      <w:r w:rsidRPr="00CF4AE2">
        <w:rPr>
          <w:b/>
          <w:color w:val="17365D" w:themeColor="text2" w:themeShade="BF"/>
          <w:sz w:val="20"/>
          <w:szCs w:val="20"/>
        </w:rPr>
        <w:t>Maliye Bakanlığından:</w:t>
      </w:r>
    </w:p>
    <w:p w:rsidR="00CF4AE2" w:rsidRPr="00CF4AE2" w:rsidRDefault="00CF4AE2" w:rsidP="00CF4AE2">
      <w:pPr>
        <w:pStyle w:val="NormalWeb"/>
        <w:spacing w:before="0" w:beforeAutospacing="0" w:after="0" w:afterAutospacing="0" w:line="276" w:lineRule="auto"/>
        <w:rPr>
          <w:b/>
          <w:color w:val="17365D" w:themeColor="text2" w:themeShade="BF"/>
          <w:sz w:val="20"/>
          <w:szCs w:val="20"/>
        </w:rPr>
      </w:pPr>
    </w:p>
    <w:p w:rsidR="00CF4AE2" w:rsidRPr="00CF4AE2" w:rsidRDefault="00CF4AE2" w:rsidP="00CF4AE2">
      <w:pPr>
        <w:pStyle w:val="2-ortabaslk"/>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 </w:t>
      </w:r>
    </w:p>
    <w:p w:rsidR="00CF4AE2" w:rsidRPr="00CF4AE2" w:rsidRDefault="00CF4AE2" w:rsidP="00CF4AE2">
      <w:pPr>
        <w:pStyle w:val="2-ortabaslk"/>
        <w:spacing w:before="0" w:beforeAutospacing="0" w:after="0" w:afterAutospacing="0" w:line="276" w:lineRule="auto"/>
        <w:jc w:val="center"/>
        <w:rPr>
          <w:color w:val="17365D" w:themeColor="text2" w:themeShade="BF"/>
          <w:sz w:val="20"/>
          <w:szCs w:val="20"/>
        </w:rPr>
      </w:pPr>
      <w:r w:rsidRPr="00CF4AE2">
        <w:rPr>
          <w:b/>
          <w:bCs/>
          <w:color w:val="17365D" w:themeColor="text2" w:themeShade="BF"/>
          <w:sz w:val="20"/>
          <w:szCs w:val="20"/>
        </w:rPr>
        <w:t>TEDAVİ YARDIMINA İLİŞKİN UYGULAMA TEBLİĞİ</w:t>
      </w:r>
    </w:p>
    <w:p w:rsidR="00CF4AE2" w:rsidRPr="00CF4AE2" w:rsidRDefault="00CF4AE2" w:rsidP="00CF4AE2">
      <w:pPr>
        <w:pStyle w:val="2-ortabaslk"/>
        <w:spacing w:before="0" w:beforeAutospacing="0" w:after="0" w:afterAutospacing="0" w:line="276" w:lineRule="auto"/>
        <w:jc w:val="center"/>
        <w:rPr>
          <w:color w:val="17365D" w:themeColor="text2" w:themeShade="BF"/>
          <w:sz w:val="20"/>
          <w:szCs w:val="20"/>
        </w:rPr>
      </w:pPr>
      <w:r w:rsidRPr="00CF4AE2">
        <w:rPr>
          <w:b/>
          <w:bCs/>
          <w:color w:val="17365D" w:themeColor="text2" w:themeShade="BF"/>
          <w:sz w:val="20"/>
          <w:szCs w:val="20"/>
        </w:rPr>
        <w:t>(SIRA NO: 14)</w:t>
      </w:r>
    </w:p>
    <w:p w:rsidR="00CF4AE2" w:rsidRPr="00CF4AE2" w:rsidRDefault="00CF4AE2" w:rsidP="00CF4AE2">
      <w:pPr>
        <w:pStyle w:val="2-ortabaslk"/>
        <w:spacing w:before="0" w:beforeAutospacing="0" w:after="0" w:afterAutospacing="0" w:line="276" w:lineRule="auto"/>
        <w:jc w:val="center"/>
        <w:rPr>
          <w:color w:val="17365D" w:themeColor="text2" w:themeShade="BF"/>
          <w:sz w:val="20"/>
          <w:szCs w:val="20"/>
        </w:rPr>
      </w:pPr>
      <w:r w:rsidRPr="00CF4AE2">
        <w:rPr>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Bilindiği üzere, (6) Sıra No.lu Tedavi Yardımına İlişkin Uygulama Tebliği (Bundan sonra Tebliğ olarak ifade edilecektir.) </w:t>
      </w:r>
      <w:proofErr w:type="gramStart"/>
      <w:r w:rsidRPr="00CF4AE2">
        <w:rPr>
          <w:rStyle w:val="grame"/>
          <w:rFonts w:ascii="Times New Roman" w:hAnsi="Times New Roman" w:cs="Times New Roman"/>
          <w:color w:val="17365D" w:themeColor="text2" w:themeShade="BF"/>
          <w:sz w:val="20"/>
          <w:szCs w:val="20"/>
        </w:rPr>
        <w:t>23/10/2008</w:t>
      </w:r>
      <w:proofErr w:type="gramEnd"/>
      <w:r w:rsidRPr="00CF4AE2">
        <w:rPr>
          <w:rFonts w:ascii="Times New Roman" w:hAnsi="Times New Roman" w:cs="Times New Roman"/>
          <w:color w:val="17365D" w:themeColor="text2" w:themeShade="BF"/>
          <w:sz w:val="20"/>
          <w:szCs w:val="20"/>
        </w:rPr>
        <w:t xml:space="preserve"> tarihli ve 27033 sayılı Resmi Gazetede yayımlanmıştır.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Söz konusu Tebliğde aşağıda belirtilen değişiklik ve düzenlemelerin yapılması gerekli görülmüştür.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1- Tebliğin 12 </w:t>
      </w:r>
      <w:proofErr w:type="spellStart"/>
      <w:r w:rsidRPr="00CF4AE2">
        <w:rPr>
          <w:rStyle w:val="spelle"/>
          <w:rFonts w:ascii="Times New Roman" w:hAnsi="Times New Roman" w:cs="Times New Roman"/>
          <w:color w:val="17365D" w:themeColor="text2" w:themeShade="BF"/>
          <w:sz w:val="20"/>
          <w:szCs w:val="20"/>
        </w:rPr>
        <w:t>nci</w:t>
      </w:r>
      <w:proofErr w:type="spellEnd"/>
      <w:r w:rsidRPr="00CF4AE2">
        <w:rPr>
          <w:rFonts w:ascii="Times New Roman" w:hAnsi="Times New Roman" w:cs="Times New Roman"/>
          <w:color w:val="17365D" w:themeColor="text2" w:themeShade="BF"/>
          <w:sz w:val="20"/>
          <w:szCs w:val="20"/>
        </w:rPr>
        <w:t xml:space="preserve"> maddesinin “Bazı özel hastalıklara ve ilaç kullanımına ilişkin düzenlemeler” başlıklı (7) numaralı fıkrasının;</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a) “Aşı ve serum temini uygulaması” başlıklı (3) numaralı bendinin sonuna aşağıdaki paragraf eklenmiştir.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“Spesifik alerji aşılarının bedellerinin, standart aşı bedeli kadarı karşılanır.”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b) “Kanser ilaçları verilme ilkeleri” başlıklı (14) numaralı bendinin (c) </w:t>
      </w:r>
      <w:proofErr w:type="spellStart"/>
      <w:r w:rsidRPr="00CF4AE2">
        <w:rPr>
          <w:rStyle w:val="spelle"/>
          <w:rFonts w:ascii="Times New Roman" w:hAnsi="Times New Roman" w:cs="Times New Roman"/>
          <w:color w:val="17365D" w:themeColor="text2" w:themeShade="BF"/>
          <w:sz w:val="20"/>
          <w:szCs w:val="20"/>
        </w:rPr>
        <w:t>altbendinin</w:t>
      </w:r>
      <w:proofErr w:type="spellEnd"/>
      <w:r w:rsidRPr="00CF4AE2">
        <w:rPr>
          <w:rFonts w:ascii="Times New Roman" w:hAnsi="Times New Roman" w:cs="Times New Roman"/>
          <w:color w:val="17365D" w:themeColor="text2" w:themeShade="BF"/>
          <w:sz w:val="20"/>
          <w:szCs w:val="20"/>
        </w:rPr>
        <w:t xml:space="preserve"> (3-d) sırasının “</w:t>
      </w:r>
      <w:proofErr w:type="spellStart"/>
      <w:r w:rsidRPr="00CF4AE2">
        <w:rPr>
          <w:rStyle w:val="spelle"/>
          <w:rFonts w:ascii="Times New Roman" w:hAnsi="Times New Roman" w:cs="Times New Roman"/>
          <w:color w:val="17365D" w:themeColor="text2" w:themeShade="BF"/>
          <w:sz w:val="20"/>
          <w:szCs w:val="20"/>
        </w:rPr>
        <w:t>Dasatinib</w:t>
      </w:r>
      <w:proofErr w:type="spellEnd"/>
      <w:r w:rsidRPr="00CF4AE2">
        <w:rPr>
          <w:rFonts w:ascii="Times New Roman" w:hAnsi="Times New Roman" w:cs="Times New Roman"/>
          <w:color w:val="17365D" w:themeColor="text2" w:themeShade="BF"/>
          <w:sz w:val="20"/>
          <w:szCs w:val="20"/>
        </w:rPr>
        <w:t>” başlıklı paragrafı, başlığı ile birlikte aşağıdaki şekilde yeniden düzenlenmiştir.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w:t>
      </w:r>
      <w:proofErr w:type="spellStart"/>
      <w:r w:rsidRPr="00CF4AE2">
        <w:rPr>
          <w:rStyle w:val="spelle"/>
          <w:rFonts w:ascii="Times New Roman" w:hAnsi="Times New Roman" w:cs="Times New Roman"/>
          <w:color w:val="17365D" w:themeColor="text2" w:themeShade="BF"/>
          <w:sz w:val="20"/>
          <w:szCs w:val="20"/>
        </w:rPr>
        <w:t>Dasatinib</w:t>
      </w:r>
      <w:proofErr w:type="spellEnd"/>
      <w:r w:rsidRPr="00CF4AE2">
        <w:rPr>
          <w:rFonts w:ascii="Times New Roman" w:hAnsi="Times New Roman" w:cs="Times New Roman"/>
          <w:color w:val="17365D" w:themeColor="text2" w:themeShade="BF"/>
          <w:sz w:val="20"/>
          <w:szCs w:val="20"/>
        </w:rPr>
        <w:t xml:space="preserve"> ve </w:t>
      </w:r>
      <w:proofErr w:type="spellStart"/>
      <w:r w:rsidRPr="00CF4AE2">
        <w:rPr>
          <w:rStyle w:val="spelle"/>
          <w:rFonts w:ascii="Times New Roman" w:hAnsi="Times New Roman" w:cs="Times New Roman"/>
          <w:color w:val="17365D" w:themeColor="text2" w:themeShade="BF"/>
          <w:sz w:val="20"/>
          <w:szCs w:val="20"/>
        </w:rPr>
        <w:t>nilotinib</w:t>
      </w:r>
      <w:proofErr w:type="spellEnd"/>
      <w:r w:rsidRPr="00CF4AE2">
        <w:rPr>
          <w:rFonts w:ascii="Times New Roman" w:hAnsi="Times New Roman" w:cs="Times New Roman"/>
          <w:color w:val="17365D" w:themeColor="text2" w:themeShade="BF"/>
          <w:sz w:val="20"/>
          <w:szCs w:val="20"/>
        </w:rPr>
        <w:t xml:space="preserve">: Sağlık Bakanlığı'nca onaylanan </w:t>
      </w:r>
      <w:proofErr w:type="gramStart"/>
      <w:r w:rsidRPr="00CF4AE2">
        <w:rPr>
          <w:rStyle w:val="grame"/>
          <w:rFonts w:ascii="Times New Roman" w:hAnsi="Times New Roman" w:cs="Times New Roman"/>
          <w:color w:val="17365D" w:themeColor="text2" w:themeShade="BF"/>
          <w:sz w:val="20"/>
          <w:szCs w:val="20"/>
        </w:rPr>
        <w:t>prospektüslerinde</w:t>
      </w:r>
      <w:proofErr w:type="gramEnd"/>
      <w:r w:rsidRPr="00CF4AE2">
        <w:rPr>
          <w:rFonts w:ascii="Times New Roman" w:hAnsi="Times New Roman" w:cs="Times New Roman"/>
          <w:color w:val="17365D" w:themeColor="text2" w:themeShade="BF"/>
          <w:sz w:val="20"/>
          <w:szCs w:val="20"/>
        </w:rPr>
        <w:t xml:space="preserve"> yer alan </w:t>
      </w:r>
      <w:proofErr w:type="spellStart"/>
      <w:r w:rsidRPr="00CF4AE2">
        <w:rPr>
          <w:rStyle w:val="spelle"/>
          <w:rFonts w:ascii="Times New Roman" w:hAnsi="Times New Roman" w:cs="Times New Roman"/>
          <w:color w:val="17365D" w:themeColor="text2" w:themeShade="BF"/>
          <w:sz w:val="20"/>
          <w:szCs w:val="20"/>
        </w:rPr>
        <w:t>endikasyonlarda</w:t>
      </w:r>
      <w:proofErr w:type="spellEnd"/>
      <w:r w:rsidRPr="00CF4AE2">
        <w:rPr>
          <w:rFonts w:ascii="Times New Roman" w:hAnsi="Times New Roman" w:cs="Times New Roman"/>
          <w:color w:val="17365D" w:themeColor="text2" w:themeShade="BF"/>
          <w:sz w:val="20"/>
          <w:szCs w:val="20"/>
        </w:rPr>
        <w:t xml:space="preserve">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w:t>
      </w:r>
      <w:proofErr w:type="spellStart"/>
      <w:r w:rsidRPr="00CF4AE2">
        <w:rPr>
          <w:rStyle w:val="spelle"/>
          <w:rFonts w:ascii="Times New Roman" w:hAnsi="Times New Roman" w:cs="Times New Roman"/>
          <w:color w:val="17365D" w:themeColor="text2" w:themeShade="BF"/>
          <w:sz w:val="20"/>
          <w:szCs w:val="20"/>
        </w:rPr>
        <w:t>reçetelenir</w:t>
      </w:r>
      <w:proofErr w:type="spellEnd"/>
      <w:r w:rsidRPr="00CF4AE2">
        <w:rPr>
          <w:rFonts w:ascii="Times New Roman" w:hAnsi="Times New Roman" w:cs="Times New Roman"/>
          <w:color w:val="17365D" w:themeColor="text2" w:themeShade="BF"/>
          <w:sz w:val="20"/>
          <w:szCs w:val="20"/>
        </w:rPr>
        <w:t xml:space="preserve">. </w:t>
      </w:r>
      <w:proofErr w:type="spellStart"/>
      <w:r w:rsidRPr="00CF4AE2">
        <w:rPr>
          <w:rStyle w:val="spelle"/>
          <w:rFonts w:ascii="Times New Roman" w:hAnsi="Times New Roman" w:cs="Times New Roman"/>
          <w:color w:val="17365D" w:themeColor="text2" w:themeShade="BF"/>
          <w:sz w:val="20"/>
          <w:szCs w:val="20"/>
        </w:rPr>
        <w:t>Dasatinib</w:t>
      </w:r>
      <w:proofErr w:type="spellEnd"/>
      <w:r w:rsidRPr="00CF4AE2">
        <w:rPr>
          <w:rFonts w:ascii="Times New Roman" w:hAnsi="Times New Roman" w:cs="Times New Roman"/>
          <w:color w:val="17365D" w:themeColor="text2" w:themeShade="BF"/>
          <w:sz w:val="20"/>
          <w:szCs w:val="20"/>
        </w:rPr>
        <w:t xml:space="preserve"> veya </w:t>
      </w:r>
      <w:proofErr w:type="spellStart"/>
      <w:r w:rsidRPr="00CF4AE2">
        <w:rPr>
          <w:rStyle w:val="spelle"/>
          <w:rFonts w:ascii="Times New Roman" w:hAnsi="Times New Roman" w:cs="Times New Roman"/>
          <w:color w:val="17365D" w:themeColor="text2" w:themeShade="BF"/>
          <w:sz w:val="20"/>
          <w:szCs w:val="20"/>
        </w:rPr>
        <w:t>nilotinib</w:t>
      </w:r>
      <w:proofErr w:type="spellEnd"/>
      <w:r w:rsidRPr="00CF4AE2">
        <w:rPr>
          <w:rFonts w:ascii="Times New Roman" w:hAnsi="Times New Roman" w:cs="Times New Roman"/>
          <w:color w:val="17365D" w:themeColor="text2" w:themeShade="BF"/>
          <w:sz w:val="20"/>
          <w:szCs w:val="20"/>
        </w:rPr>
        <w:t xml:space="preserve"> etken maddelerinden yalnızca biri kullanılabilecek, kullanılan etken maddeye direnç gelişmesi ya da </w:t>
      </w:r>
      <w:proofErr w:type="spellStart"/>
      <w:r w:rsidRPr="00CF4AE2">
        <w:rPr>
          <w:rStyle w:val="spelle"/>
          <w:rFonts w:ascii="Times New Roman" w:hAnsi="Times New Roman" w:cs="Times New Roman"/>
          <w:color w:val="17365D" w:themeColor="text2" w:themeShade="BF"/>
          <w:sz w:val="20"/>
          <w:szCs w:val="20"/>
        </w:rPr>
        <w:t>progresyon</w:t>
      </w:r>
      <w:proofErr w:type="spellEnd"/>
      <w:r w:rsidRPr="00CF4AE2">
        <w:rPr>
          <w:rFonts w:ascii="Times New Roman" w:hAnsi="Times New Roman" w:cs="Times New Roman"/>
          <w:color w:val="17365D" w:themeColor="text2" w:themeShade="BF"/>
          <w:sz w:val="20"/>
          <w:szCs w:val="20"/>
        </w:rPr>
        <w:t xml:space="preserve"> olması durumunda diğer etken maddeye geçilemeyecektir. (</w:t>
      </w:r>
      <w:proofErr w:type="spellStart"/>
      <w:r w:rsidRPr="00CF4AE2">
        <w:rPr>
          <w:rStyle w:val="spelle"/>
          <w:rFonts w:ascii="Times New Roman" w:hAnsi="Times New Roman" w:cs="Times New Roman"/>
          <w:color w:val="17365D" w:themeColor="text2" w:themeShade="BF"/>
          <w:sz w:val="20"/>
          <w:szCs w:val="20"/>
        </w:rPr>
        <w:t>Dasatinib</w:t>
      </w:r>
      <w:proofErr w:type="spellEnd"/>
      <w:r w:rsidRPr="00CF4AE2">
        <w:rPr>
          <w:rFonts w:ascii="Times New Roman" w:hAnsi="Times New Roman" w:cs="Times New Roman"/>
          <w:color w:val="17365D" w:themeColor="text2" w:themeShade="BF"/>
          <w:sz w:val="20"/>
          <w:szCs w:val="20"/>
        </w:rPr>
        <w:t xml:space="preserve"> ve </w:t>
      </w:r>
      <w:proofErr w:type="spellStart"/>
      <w:r w:rsidRPr="00CF4AE2">
        <w:rPr>
          <w:rStyle w:val="spelle"/>
          <w:rFonts w:ascii="Times New Roman" w:hAnsi="Times New Roman" w:cs="Times New Roman"/>
          <w:color w:val="17365D" w:themeColor="text2" w:themeShade="BF"/>
          <w:sz w:val="20"/>
          <w:szCs w:val="20"/>
        </w:rPr>
        <w:t>nilotinib</w:t>
      </w:r>
      <w:proofErr w:type="spellEnd"/>
      <w:r w:rsidRPr="00CF4AE2">
        <w:rPr>
          <w:rFonts w:ascii="Times New Roman" w:hAnsi="Times New Roman" w:cs="Times New Roman"/>
          <w:color w:val="17365D" w:themeColor="text2" w:themeShade="BF"/>
          <w:sz w:val="20"/>
          <w:szCs w:val="20"/>
        </w:rPr>
        <w:t xml:space="preserve"> ardışık ya da kombine olarak kullanılamayacaktır.)”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c) “Kanser ilaçları verilme ilkeleri” başlıklı (14) numaralı bendinin (c) </w:t>
      </w:r>
      <w:proofErr w:type="spellStart"/>
      <w:r w:rsidRPr="00CF4AE2">
        <w:rPr>
          <w:rStyle w:val="spelle"/>
          <w:rFonts w:ascii="Times New Roman" w:hAnsi="Times New Roman" w:cs="Times New Roman"/>
          <w:color w:val="17365D" w:themeColor="text2" w:themeShade="BF"/>
          <w:sz w:val="20"/>
          <w:szCs w:val="20"/>
        </w:rPr>
        <w:t>altbendinin</w:t>
      </w:r>
      <w:proofErr w:type="spellEnd"/>
      <w:r w:rsidRPr="00CF4AE2">
        <w:rPr>
          <w:rFonts w:ascii="Times New Roman" w:hAnsi="Times New Roman" w:cs="Times New Roman"/>
          <w:color w:val="17365D" w:themeColor="text2" w:themeShade="BF"/>
          <w:sz w:val="20"/>
          <w:szCs w:val="20"/>
        </w:rPr>
        <w:t xml:space="preserve"> (3-d) sırasına; “</w:t>
      </w:r>
      <w:proofErr w:type="spellStart"/>
      <w:r w:rsidRPr="00CF4AE2">
        <w:rPr>
          <w:rStyle w:val="spelle"/>
          <w:rFonts w:ascii="Times New Roman" w:hAnsi="Times New Roman" w:cs="Times New Roman"/>
          <w:color w:val="17365D" w:themeColor="text2" w:themeShade="BF"/>
          <w:sz w:val="20"/>
          <w:szCs w:val="20"/>
        </w:rPr>
        <w:t>Lapatinip</w:t>
      </w:r>
      <w:proofErr w:type="spellEnd"/>
      <w:r w:rsidRPr="00CF4AE2">
        <w:rPr>
          <w:rFonts w:ascii="Times New Roman" w:hAnsi="Times New Roman" w:cs="Times New Roman"/>
          <w:color w:val="17365D" w:themeColor="text2" w:themeShade="BF"/>
          <w:sz w:val="20"/>
          <w:szCs w:val="20"/>
        </w:rPr>
        <w:t>” başlıklı paragraftan sonra gelmek üzere aşağıdaki paragraf eklenmiştir.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w:t>
      </w:r>
      <w:proofErr w:type="spellStart"/>
      <w:r w:rsidRPr="00CF4AE2">
        <w:rPr>
          <w:rStyle w:val="spelle"/>
          <w:rFonts w:ascii="Times New Roman" w:hAnsi="Times New Roman" w:cs="Times New Roman"/>
          <w:color w:val="17365D" w:themeColor="text2" w:themeShade="BF"/>
          <w:sz w:val="20"/>
          <w:szCs w:val="20"/>
        </w:rPr>
        <w:t>Temsirolimus</w:t>
      </w:r>
      <w:proofErr w:type="spellEnd"/>
      <w:r w:rsidRPr="00CF4AE2">
        <w:rPr>
          <w:rFonts w:ascii="Times New Roman" w:hAnsi="Times New Roman" w:cs="Times New Roman"/>
          <w:color w:val="17365D" w:themeColor="text2" w:themeShade="BF"/>
          <w:sz w:val="20"/>
          <w:szCs w:val="20"/>
        </w:rPr>
        <w:t xml:space="preserve">; </w:t>
      </w:r>
      <w:proofErr w:type="spellStart"/>
      <w:r w:rsidRPr="00CF4AE2">
        <w:rPr>
          <w:rStyle w:val="spelle"/>
          <w:rFonts w:ascii="Times New Roman" w:hAnsi="Times New Roman" w:cs="Times New Roman"/>
          <w:color w:val="17365D" w:themeColor="text2" w:themeShade="BF"/>
          <w:sz w:val="20"/>
          <w:szCs w:val="20"/>
        </w:rPr>
        <w:t>Sitokin</w:t>
      </w:r>
      <w:proofErr w:type="spellEnd"/>
      <w:r w:rsidRPr="00CF4AE2">
        <w:rPr>
          <w:rFonts w:ascii="Times New Roman" w:hAnsi="Times New Roman" w:cs="Times New Roman"/>
          <w:color w:val="17365D" w:themeColor="text2" w:themeShade="BF"/>
          <w:sz w:val="20"/>
          <w:szCs w:val="20"/>
        </w:rPr>
        <w:t xml:space="preserve"> (interferon veya </w:t>
      </w:r>
      <w:proofErr w:type="spellStart"/>
      <w:r w:rsidRPr="00CF4AE2">
        <w:rPr>
          <w:rStyle w:val="spelle"/>
          <w:rFonts w:ascii="Times New Roman" w:hAnsi="Times New Roman" w:cs="Times New Roman"/>
          <w:color w:val="17365D" w:themeColor="text2" w:themeShade="BF"/>
          <w:sz w:val="20"/>
          <w:szCs w:val="20"/>
        </w:rPr>
        <w:t>interlökin</w:t>
      </w:r>
      <w:proofErr w:type="spellEnd"/>
      <w:r w:rsidRPr="00CF4AE2">
        <w:rPr>
          <w:rFonts w:ascii="Times New Roman" w:hAnsi="Times New Roman" w:cs="Times New Roman"/>
          <w:color w:val="17365D" w:themeColor="text2" w:themeShade="BF"/>
          <w:sz w:val="20"/>
          <w:szCs w:val="20"/>
        </w:rPr>
        <w:t xml:space="preserve">) sonrası </w:t>
      </w:r>
      <w:proofErr w:type="spellStart"/>
      <w:r w:rsidRPr="00CF4AE2">
        <w:rPr>
          <w:rStyle w:val="spelle"/>
          <w:rFonts w:ascii="Times New Roman" w:hAnsi="Times New Roman" w:cs="Times New Roman"/>
          <w:color w:val="17365D" w:themeColor="text2" w:themeShade="BF"/>
          <w:sz w:val="20"/>
          <w:szCs w:val="20"/>
        </w:rPr>
        <w:t>progresyon</w:t>
      </w:r>
      <w:proofErr w:type="spellEnd"/>
      <w:r w:rsidRPr="00CF4AE2">
        <w:rPr>
          <w:rFonts w:ascii="Times New Roman" w:hAnsi="Times New Roman" w:cs="Times New Roman"/>
          <w:color w:val="17365D" w:themeColor="text2" w:themeShade="BF"/>
          <w:sz w:val="20"/>
          <w:szCs w:val="20"/>
        </w:rPr>
        <w:t xml:space="preserve"> olan </w:t>
      </w:r>
      <w:proofErr w:type="spellStart"/>
      <w:r w:rsidRPr="00CF4AE2">
        <w:rPr>
          <w:rStyle w:val="spelle"/>
          <w:rFonts w:ascii="Times New Roman" w:hAnsi="Times New Roman" w:cs="Times New Roman"/>
          <w:color w:val="17365D" w:themeColor="text2" w:themeShade="BF"/>
          <w:sz w:val="20"/>
          <w:szCs w:val="20"/>
        </w:rPr>
        <w:t>metastatik</w:t>
      </w:r>
      <w:proofErr w:type="spellEnd"/>
      <w:r w:rsidRPr="00CF4AE2">
        <w:rPr>
          <w:rFonts w:ascii="Times New Roman" w:hAnsi="Times New Roman" w:cs="Times New Roman"/>
          <w:color w:val="17365D" w:themeColor="text2" w:themeShade="BF"/>
          <w:sz w:val="20"/>
          <w:szCs w:val="20"/>
        </w:rPr>
        <w:t xml:space="preserve"> </w:t>
      </w:r>
      <w:proofErr w:type="spellStart"/>
      <w:r w:rsidRPr="00CF4AE2">
        <w:rPr>
          <w:rStyle w:val="spelle"/>
          <w:rFonts w:ascii="Times New Roman" w:hAnsi="Times New Roman" w:cs="Times New Roman"/>
          <w:color w:val="17365D" w:themeColor="text2" w:themeShade="BF"/>
          <w:sz w:val="20"/>
          <w:szCs w:val="20"/>
        </w:rPr>
        <w:t>renal</w:t>
      </w:r>
      <w:proofErr w:type="spellEnd"/>
      <w:r w:rsidRPr="00CF4AE2">
        <w:rPr>
          <w:rFonts w:ascii="Times New Roman" w:hAnsi="Times New Roman" w:cs="Times New Roman"/>
          <w:color w:val="17365D" w:themeColor="text2" w:themeShade="BF"/>
          <w:sz w:val="20"/>
          <w:szCs w:val="20"/>
        </w:rPr>
        <w:t xml:space="preserve"> hücreli </w:t>
      </w:r>
      <w:proofErr w:type="spellStart"/>
      <w:r w:rsidRPr="00CF4AE2">
        <w:rPr>
          <w:rStyle w:val="spelle"/>
          <w:rFonts w:ascii="Times New Roman" w:hAnsi="Times New Roman" w:cs="Times New Roman"/>
          <w:color w:val="17365D" w:themeColor="text2" w:themeShade="BF"/>
          <w:sz w:val="20"/>
          <w:szCs w:val="20"/>
        </w:rPr>
        <w:t>karsinomların</w:t>
      </w:r>
      <w:proofErr w:type="spellEnd"/>
      <w:r w:rsidRPr="00CF4AE2">
        <w:rPr>
          <w:rFonts w:ascii="Times New Roman" w:hAnsi="Times New Roman" w:cs="Times New Roman"/>
          <w:color w:val="17365D" w:themeColor="text2" w:themeShade="BF"/>
          <w:sz w:val="20"/>
          <w:szCs w:val="20"/>
        </w:rPr>
        <w:t xml:space="preserve"> tedavisinde, aşağıdaki 6 </w:t>
      </w:r>
      <w:proofErr w:type="gramStart"/>
      <w:r w:rsidRPr="00CF4AE2">
        <w:rPr>
          <w:rStyle w:val="grame"/>
          <w:rFonts w:ascii="Times New Roman" w:hAnsi="Times New Roman" w:cs="Times New Roman"/>
          <w:color w:val="17365D" w:themeColor="text2" w:themeShade="BF"/>
          <w:sz w:val="20"/>
          <w:szCs w:val="20"/>
        </w:rPr>
        <w:t>kriterden</w:t>
      </w:r>
      <w:proofErr w:type="gramEnd"/>
      <w:r w:rsidRPr="00CF4AE2">
        <w:rPr>
          <w:rFonts w:ascii="Times New Roman" w:hAnsi="Times New Roman" w:cs="Times New Roman"/>
          <w:color w:val="17365D" w:themeColor="text2" w:themeShade="BF"/>
          <w:sz w:val="20"/>
          <w:szCs w:val="20"/>
        </w:rPr>
        <w:t xml:space="preserve"> en az üç tanesinin bulunduğu kötü </w:t>
      </w:r>
      <w:proofErr w:type="spellStart"/>
      <w:r w:rsidRPr="00CF4AE2">
        <w:rPr>
          <w:rStyle w:val="spelle"/>
          <w:rFonts w:ascii="Times New Roman" w:hAnsi="Times New Roman" w:cs="Times New Roman"/>
          <w:color w:val="17365D" w:themeColor="text2" w:themeShade="BF"/>
          <w:sz w:val="20"/>
          <w:szCs w:val="20"/>
        </w:rPr>
        <w:t>prognoz</w:t>
      </w:r>
      <w:proofErr w:type="spellEnd"/>
      <w:r w:rsidRPr="00CF4AE2">
        <w:rPr>
          <w:rFonts w:ascii="Times New Roman" w:hAnsi="Times New Roman" w:cs="Times New Roman"/>
          <w:color w:val="17365D" w:themeColor="text2" w:themeShade="BF"/>
          <w:sz w:val="20"/>
          <w:szCs w:val="20"/>
        </w:rPr>
        <w:t xml:space="preserve"> grubu kabul edilen hastalarda;</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lastRenderedPageBreak/>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1- </w:t>
      </w:r>
      <w:proofErr w:type="spellStart"/>
      <w:r w:rsidRPr="00CF4AE2">
        <w:rPr>
          <w:rStyle w:val="spelle"/>
          <w:rFonts w:ascii="Times New Roman" w:hAnsi="Times New Roman" w:cs="Times New Roman"/>
          <w:color w:val="17365D" w:themeColor="text2" w:themeShade="BF"/>
          <w:sz w:val="20"/>
          <w:szCs w:val="20"/>
        </w:rPr>
        <w:t>Laktat</w:t>
      </w:r>
      <w:proofErr w:type="spellEnd"/>
      <w:r w:rsidRPr="00CF4AE2">
        <w:rPr>
          <w:rFonts w:ascii="Times New Roman" w:hAnsi="Times New Roman" w:cs="Times New Roman"/>
          <w:color w:val="17365D" w:themeColor="text2" w:themeShade="BF"/>
          <w:sz w:val="20"/>
          <w:szCs w:val="20"/>
        </w:rPr>
        <w:t xml:space="preserve"> </w:t>
      </w:r>
      <w:proofErr w:type="spellStart"/>
      <w:r w:rsidRPr="00CF4AE2">
        <w:rPr>
          <w:rStyle w:val="spelle"/>
          <w:rFonts w:ascii="Times New Roman" w:hAnsi="Times New Roman" w:cs="Times New Roman"/>
          <w:color w:val="17365D" w:themeColor="text2" w:themeShade="BF"/>
          <w:sz w:val="20"/>
          <w:szCs w:val="20"/>
        </w:rPr>
        <w:t>dehidrogenaz</w:t>
      </w:r>
      <w:proofErr w:type="spellEnd"/>
      <w:r w:rsidRPr="00CF4AE2">
        <w:rPr>
          <w:rFonts w:ascii="Times New Roman" w:hAnsi="Times New Roman" w:cs="Times New Roman"/>
          <w:color w:val="17365D" w:themeColor="text2" w:themeShade="BF"/>
          <w:sz w:val="20"/>
          <w:szCs w:val="20"/>
        </w:rPr>
        <w:t xml:space="preserve"> düzeyinin normalin üst sınırından </w:t>
      </w:r>
      <w:proofErr w:type="gramStart"/>
      <w:r w:rsidRPr="00CF4AE2">
        <w:rPr>
          <w:rStyle w:val="grame"/>
          <w:rFonts w:ascii="Times New Roman" w:hAnsi="Times New Roman" w:cs="Times New Roman"/>
          <w:color w:val="17365D" w:themeColor="text2" w:themeShade="BF"/>
          <w:sz w:val="20"/>
          <w:szCs w:val="20"/>
        </w:rPr>
        <w:t>1.5</w:t>
      </w:r>
      <w:proofErr w:type="gramEnd"/>
      <w:r w:rsidRPr="00CF4AE2">
        <w:rPr>
          <w:rFonts w:ascii="Times New Roman" w:hAnsi="Times New Roman" w:cs="Times New Roman"/>
          <w:color w:val="17365D" w:themeColor="text2" w:themeShade="BF"/>
          <w:sz w:val="20"/>
          <w:szCs w:val="20"/>
        </w:rPr>
        <w:t xml:space="preserve"> kat veya daha fazla artmış olması,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2- Hemoglobinin normal değerinin alt sınırdan düşük olması,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3- Düzeltilmiş kalsiyum düzeyinin 10mg/</w:t>
      </w:r>
      <w:proofErr w:type="spellStart"/>
      <w:r w:rsidRPr="00CF4AE2">
        <w:rPr>
          <w:rStyle w:val="spelle"/>
          <w:rFonts w:ascii="Times New Roman" w:hAnsi="Times New Roman" w:cs="Times New Roman"/>
          <w:color w:val="17365D" w:themeColor="text2" w:themeShade="BF"/>
          <w:sz w:val="20"/>
          <w:szCs w:val="20"/>
        </w:rPr>
        <w:t>dl</w:t>
      </w:r>
      <w:proofErr w:type="spellEnd"/>
      <w:r w:rsidRPr="00CF4AE2">
        <w:rPr>
          <w:rFonts w:ascii="Times New Roman" w:hAnsi="Times New Roman" w:cs="Times New Roman"/>
          <w:color w:val="17365D" w:themeColor="text2" w:themeShade="BF"/>
          <w:sz w:val="20"/>
          <w:szCs w:val="20"/>
        </w:rPr>
        <w:t xml:space="preserve"> </w:t>
      </w:r>
      <w:proofErr w:type="spellStart"/>
      <w:r w:rsidRPr="00CF4AE2">
        <w:rPr>
          <w:rStyle w:val="spelle"/>
          <w:rFonts w:ascii="Times New Roman" w:hAnsi="Times New Roman" w:cs="Times New Roman"/>
          <w:color w:val="17365D" w:themeColor="text2" w:themeShade="BF"/>
          <w:sz w:val="20"/>
          <w:szCs w:val="20"/>
        </w:rPr>
        <w:t>nin</w:t>
      </w:r>
      <w:proofErr w:type="spellEnd"/>
      <w:r w:rsidRPr="00CF4AE2">
        <w:rPr>
          <w:rFonts w:ascii="Times New Roman" w:hAnsi="Times New Roman" w:cs="Times New Roman"/>
          <w:color w:val="17365D" w:themeColor="text2" w:themeShade="BF"/>
          <w:sz w:val="20"/>
          <w:szCs w:val="20"/>
        </w:rPr>
        <w:t xml:space="preserve"> üzerinde olması,</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4- Tanıdan itibaren sistemik tedavinin başlangıcına kadar geçen sürenin 1 yıldan az olması,</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5- Performans durumu ECOG’ a göre 2 ve üzerinde olması,</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6- İki ya da daha fazla organ metastazının bulunması,</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proofErr w:type="gramStart"/>
      <w:r w:rsidRPr="00CF4AE2">
        <w:rPr>
          <w:rStyle w:val="grame"/>
          <w:rFonts w:ascii="Times New Roman" w:hAnsi="Times New Roman" w:cs="Times New Roman"/>
          <w:color w:val="17365D" w:themeColor="text2" w:themeShade="BF"/>
          <w:sz w:val="20"/>
          <w:szCs w:val="20"/>
        </w:rPr>
        <w:t>bu</w:t>
      </w:r>
      <w:proofErr w:type="gramEnd"/>
      <w:r w:rsidRPr="00CF4AE2">
        <w:rPr>
          <w:rFonts w:ascii="Times New Roman" w:hAnsi="Times New Roman" w:cs="Times New Roman"/>
          <w:color w:val="17365D" w:themeColor="text2" w:themeShade="BF"/>
          <w:sz w:val="20"/>
          <w:szCs w:val="20"/>
        </w:rPr>
        <w:t xml:space="preserve"> durumu belirtir en az iki tıbbi onkoloji uzmanının yer aldığı tedavi protokolünü gösterir en fazla 6 ay süreli sağlık kurulu raporuna dayanılarak tıbbi onkoloji uzman hekimlerince reçete edilir. </w:t>
      </w:r>
      <w:proofErr w:type="spellStart"/>
      <w:r w:rsidRPr="00CF4AE2">
        <w:rPr>
          <w:rStyle w:val="spelle"/>
          <w:rFonts w:ascii="Times New Roman" w:hAnsi="Times New Roman" w:cs="Times New Roman"/>
          <w:color w:val="17365D" w:themeColor="text2" w:themeShade="BF"/>
          <w:sz w:val="20"/>
          <w:szCs w:val="20"/>
        </w:rPr>
        <w:t>Temsirolimus</w:t>
      </w:r>
      <w:proofErr w:type="spellEnd"/>
      <w:r w:rsidRPr="00CF4AE2">
        <w:rPr>
          <w:rFonts w:ascii="Times New Roman" w:hAnsi="Times New Roman" w:cs="Times New Roman"/>
          <w:color w:val="17365D" w:themeColor="text2" w:themeShade="BF"/>
          <w:sz w:val="20"/>
          <w:szCs w:val="20"/>
        </w:rPr>
        <w:t xml:space="preserve"> ve </w:t>
      </w:r>
      <w:proofErr w:type="spellStart"/>
      <w:r w:rsidRPr="00CF4AE2">
        <w:rPr>
          <w:rStyle w:val="spelle"/>
          <w:rFonts w:ascii="Times New Roman" w:hAnsi="Times New Roman" w:cs="Times New Roman"/>
          <w:color w:val="17365D" w:themeColor="text2" w:themeShade="BF"/>
          <w:sz w:val="20"/>
          <w:szCs w:val="20"/>
        </w:rPr>
        <w:t>sunitinib</w:t>
      </w:r>
      <w:proofErr w:type="spellEnd"/>
      <w:r w:rsidRPr="00CF4AE2">
        <w:rPr>
          <w:rFonts w:ascii="Times New Roman" w:hAnsi="Times New Roman" w:cs="Times New Roman"/>
          <w:color w:val="17365D" w:themeColor="text2" w:themeShade="BF"/>
          <w:sz w:val="20"/>
          <w:szCs w:val="20"/>
        </w:rPr>
        <w:t xml:space="preserve"> ardışık ya da kombine olarak kullanılamaz.”</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ç) “Osteoporozda ilaç kullanım ilkeleri” başlıklı (17) numaralı bendi aşağıdaki şekilde yeniden düzenlenmiştir.</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b/>
          <w:color w:val="17365D" w:themeColor="text2" w:themeShade="BF"/>
          <w:sz w:val="20"/>
          <w:szCs w:val="20"/>
        </w:rPr>
        <w:t xml:space="preserve">“12.7.17. Osteoporoz, </w:t>
      </w:r>
      <w:proofErr w:type="spellStart"/>
      <w:r w:rsidRPr="00CF4AE2">
        <w:rPr>
          <w:rStyle w:val="spelle"/>
          <w:rFonts w:ascii="Times New Roman" w:hAnsi="Times New Roman" w:cs="Times New Roman"/>
          <w:b/>
          <w:color w:val="17365D" w:themeColor="text2" w:themeShade="BF"/>
          <w:sz w:val="20"/>
          <w:szCs w:val="20"/>
        </w:rPr>
        <w:t>sudek</w:t>
      </w:r>
      <w:proofErr w:type="spellEnd"/>
      <w:r w:rsidRPr="00CF4AE2">
        <w:rPr>
          <w:rFonts w:ascii="Times New Roman" w:hAnsi="Times New Roman" w:cs="Times New Roman"/>
          <w:b/>
          <w:color w:val="17365D" w:themeColor="text2" w:themeShade="BF"/>
          <w:sz w:val="20"/>
          <w:szCs w:val="20"/>
        </w:rPr>
        <w:t xml:space="preserve"> </w:t>
      </w:r>
      <w:proofErr w:type="spellStart"/>
      <w:r w:rsidRPr="00CF4AE2">
        <w:rPr>
          <w:rStyle w:val="spelle"/>
          <w:rFonts w:ascii="Times New Roman" w:hAnsi="Times New Roman" w:cs="Times New Roman"/>
          <w:b/>
          <w:color w:val="17365D" w:themeColor="text2" w:themeShade="BF"/>
          <w:sz w:val="20"/>
          <w:szCs w:val="20"/>
        </w:rPr>
        <w:t>atrofisi</w:t>
      </w:r>
      <w:proofErr w:type="spellEnd"/>
      <w:r w:rsidRPr="00CF4AE2">
        <w:rPr>
          <w:rFonts w:ascii="Times New Roman" w:hAnsi="Times New Roman" w:cs="Times New Roman"/>
          <w:b/>
          <w:color w:val="17365D" w:themeColor="text2" w:themeShade="BF"/>
          <w:sz w:val="20"/>
          <w:szCs w:val="20"/>
        </w:rPr>
        <w:t xml:space="preserve"> (</w:t>
      </w:r>
      <w:proofErr w:type="spellStart"/>
      <w:r w:rsidRPr="00CF4AE2">
        <w:rPr>
          <w:rStyle w:val="spelle"/>
          <w:rFonts w:ascii="Times New Roman" w:hAnsi="Times New Roman" w:cs="Times New Roman"/>
          <w:b/>
          <w:color w:val="17365D" w:themeColor="text2" w:themeShade="BF"/>
          <w:sz w:val="20"/>
          <w:szCs w:val="20"/>
        </w:rPr>
        <w:t>Algonörodistrofi</w:t>
      </w:r>
      <w:proofErr w:type="spellEnd"/>
      <w:r w:rsidRPr="00CF4AE2">
        <w:rPr>
          <w:rFonts w:ascii="Times New Roman" w:hAnsi="Times New Roman" w:cs="Times New Roman"/>
          <w:b/>
          <w:color w:val="17365D" w:themeColor="text2" w:themeShade="BF"/>
          <w:sz w:val="20"/>
          <w:szCs w:val="20"/>
        </w:rPr>
        <w:t xml:space="preserve">) ve </w:t>
      </w:r>
      <w:proofErr w:type="spellStart"/>
      <w:r w:rsidRPr="00CF4AE2">
        <w:rPr>
          <w:rStyle w:val="spelle"/>
          <w:rFonts w:ascii="Times New Roman" w:hAnsi="Times New Roman" w:cs="Times New Roman"/>
          <w:b/>
          <w:color w:val="17365D" w:themeColor="text2" w:themeShade="BF"/>
          <w:sz w:val="20"/>
          <w:szCs w:val="20"/>
        </w:rPr>
        <w:t>paget</w:t>
      </w:r>
      <w:proofErr w:type="spellEnd"/>
      <w:r w:rsidRPr="00CF4AE2">
        <w:rPr>
          <w:rFonts w:ascii="Times New Roman" w:hAnsi="Times New Roman" w:cs="Times New Roman"/>
          <w:b/>
          <w:color w:val="17365D" w:themeColor="text2" w:themeShade="BF"/>
          <w:sz w:val="20"/>
          <w:szCs w:val="20"/>
        </w:rPr>
        <w:t xml:space="preserve"> hastalığında ilaç kullanım ilkeleri</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12.7.17.1. Osteoporoz: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Osteoporoz tedavisinde </w:t>
      </w:r>
      <w:proofErr w:type="spellStart"/>
      <w:r w:rsidRPr="00CF4AE2">
        <w:rPr>
          <w:rStyle w:val="spelle"/>
          <w:rFonts w:ascii="Times New Roman" w:hAnsi="Times New Roman" w:cs="Times New Roman"/>
          <w:color w:val="17365D" w:themeColor="text2" w:themeShade="BF"/>
          <w:sz w:val="20"/>
          <w:szCs w:val="20"/>
        </w:rPr>
        <w:t>bifosfonatlar</w:t>
      </w:r>
      <w:proofErr w:type="spellEnd"/>
      <w:r w:rsidRPr="00CF4AE2">
        <w:rPr>
          <w:rFonts w:ascii="Times New Roman" w:hAnsi="Times New Roman" w:cs="Times New Roman"/>
          <w:color w:val="17365D" w:themeColor="text2" w:themeShade="BF"/>
          <w:sz w:val="20"/>
          <w:szCs w:val="20"/>
        </w:rPr>
        <w:t xml:space="preserve"> ve diğer osteoporoz ilaçları (</w:t>
      </w:r>
      <w:proofErr w:type="spellStart"/>
      <w:r w:rsidRPr="00CF4AE2">
        <w:rPr>
          <w:rStyle w:val="spelle"/>
          <w:rFonts w:ascii="Times New Roman" w:hAnsi="Times New Roman" w:cs="Times New Roman"/>
          <w:color w:val="17365D" w:themeColor="text2" w:themeShade="BF"/>
          <w:sz w:val="20"/>
          <w:szCs w:val="20"/>
        </w:rPr>
        <w:t>raloksifen</w:t>
      </w:r>
      <w:proofErr w:type="spellEnd"/>
      <w:r w:rsidRPr="00CF4AE2">
        <w:rPr>
          <w:rFonts w:ascii="Times New Roman" w:hAnsi="Times New Roman" w:cs="Times New Roman"/>
          <w:color w:val="17365D" w:themeColor="text2" w:themeShade="BF"/>
          <w:sz w:val="20"/>
          <w:szCs w:val="20"/>
        </w:rPr>
        <w:t xml:space="preserve">, </w:t>
      </w:r>
      <w:proofErr w:type="spellStart"/>
      <w:r w:rsidRPr="00CF4AE2">
        <w:rPr>
          <w:rStyle w:val="spelle"/>
          <w:rFonts w:ascii="Times New Roman" w:hAnsi="Times New Roman" w:cs="Times New Roman"/>
          <w:color w:val="17365D" w:themeColor="text2" w:themeShade="BF"/>
          <w:sz w:val="20"/>
          <w:szCs w:val="20"/>
        </w:rPr>
        <w:t>calcitonin</w:t>
      </w:r>
      <w:proofErr w:type="spellEnd"/>
      <w:r w:rsidRPr="00CF4AE2">
        <w:rPr>
          <w:rFonts w:ascii="Times New Roman" w:hAnsi="Times New Roman" w:cs="Times New Roman"/>
          <w:color w:val="17365D" w:themeColor="text2" w:themeShade="BF"/>
          <w:sz w:val="20"/>
          <w:szCs w:val="20"/>
        </w:rPr>
        <w:t xml:space="preserve">, stronsiyum </w:t>
      </w:r>
      <w:proofErr w:type="spellStart"/>
      <w:r w:rsidRPr="00CF4AE2">
        <w:rPr>
          <w:rStyle w:val="spelle"/>
          <w:rFonts w:ascii="Times New Roman" w:hAnsi="Times New Roman" w:cs="Times New Roman"/>
          <w:color w:val="17365D" w:themeColor="text2" w:themeShade="BF"/>
          <w:sz w:val="20"/>
          <w:szCs w:val="20"/>
        </w:rPr>
        <w:t>ranelat</w:t>
      </w:r>
      <w:proofErr w:type="spellEnd"/>
      <w:r w:rsidRPr="00CF4AE2">
        <w:rPr>
          <w:rFonts w:ascii="Times New Roman" w:hAnsi="Times New Roman" w:cs="Times New Roman"/>
          <w:color w:val="17365D" w:themeColor="text2" w:themeShade="BF"/>
          <w:sz w:val="20"/>
          <w:szCs w:val="20"/>
        </w:rPr>
        <w:t xml:space="preserve">) aşağıda belirtilen koşullar çerçevesinde ödenir. Bu ilaçlar tedavi süresinin belirtildiği sağlık raporuna dayanılarak reçete edilirler.  Rapor süresi 1 yıldır. Bu grup ilaçların birlikte kombine kullanımı halinde sadece birinin bedeli ödenir.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w:t>
      </w:r>
    </w:p>
    <w:p w:rsidR="00CF4AE2" w:rsidRPr="00CF4AE2" w:rsidRDefault="00CF4AE2" w:rsidP="00CF4AE2">
      <w:pPr>
        <w:jc w:val="both"/>
        <w:rPr>
          <w:rFonts w:ascii="Times New Roman" w:hAnsi="Times New Roman" w:cs="Times New Roman"/>
          <w:color w:val="17365D" w:themeColor="text2" w:themeShade="BF"/>
          <w:sz w:val="20"/>
          <w:szCs w:val="20"/>
        </w:rPr>
      </w:pPr>
      <w:r w:rsidRPr="00CF4AE2">
        <w:rPr>
          <w:rFonts w:ascii="Times New Roman" w:hAnsi="Times New Roman" w:cs="Times New Roman"/>
          <w:color w:val="17365D" w:themeColor="text2" w:themeShade="BF"/>
          <w:sz w:val="20"/>
          <w:szCs w:val="20"/>
        </w:rPr>
        <w:t xml:space="preserve">Osteoporozda ilaç tedavisi, düzenlenecek rapor tarihinden önce son bir yıl içinde yapılan KMY ölçümüyle planlanır. Ölçüm en erken 1 yıl sonra tekrar edilebilir ve yılda bir defadan daha sık yapılamaz. KMY ölçümünün bir örneği reçeteye eklenir. KMY ölçümü bir kalçasında </w:t>
      </w:r>
      <w:proofErr w:type="gramStart"/>
      <w:r w:rsidRPr="00CF4AE2">
        <w:rPr>
          <w:rStyle w:val="grame"/>
          <w:rFonts w:ascii="Times New Roman" w:hAnsi="Times New Roman" w:cs="Times New Roman"/>
          <w:color w:val="17365D" w:themeColor="text2" w:themeShade="BF"/>
          <w:sz w:val="20"/>
          <w:szCs w:val="20"/>
        </w:rPr>
        <w:t>protez</w:t>
      </w:r>
      <w:proofErr w:type="gramEnd"/>
      <w:r w:rsidRPr="00CF4AE2">
        <w:rPr>
          <w:rFonts w:ascii="Times New Roman" w:hAnsi="Times New Roman" w:cs="Times New Roman"/>
          <w:color w:val="17365D" w:themeColor="text2" w:themeShade="BF"/>
          <w:sz w:val="20"/>
          <w:szCs w:val="20"/>
        </w:rPr>
        <w:t xml:space="preserve"> olan hastada diğer kalçadan, her iki kalçasında da protez olan hastada </w:t>
      </w:r>
      <w:proofErr w:type="spellStart"/>
      <w:r w:rsidRPr="00CF4AE2">
        <w:rPr>
          <w:rStyle w:val="spelle"/>
          <w:rFonts w:ascii="Times New Roman" w:hAnsi="Times New Roman" w:cs="Times New Roman"/>
          <w:color w:val="17365D" w:themeColor="text2" w:themeShade="BF"/>
          <w:sz w:val="20"/>
          <w:szCs w:val="20"/>
        </w:rPr>
        <w:t>vertebra</w:t>
      </w:r>
      <w:proofErr w:type="spellEnd"/>
      <w:r w:rsidRPr="00CF4AE2">
        <w:rPr>
          <w:rFonts w:ascii="Times New Roman" w:hAnsi="Times New Roman" w:cs="Times New Roman"/>
          <w:color w:val="17365D" w:themeColor="text2" w:themeShade="BF"/>
          <w:sz w:val="20"/>
          <w:szCs w:val="20"/>
        </w:rPr>
        <w:t xml:space="preserve"> ya da ön koldan yapılabilir.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75 yaş ve üzerindeki hastalar ile raporunda </w:t>
      </w:r>
      <w:proofErr w:type="spellStart"/>
      <w:r w:rsidRPr="00CF4AE2">
        <w:rPr>
          <w:rStyle w:val="spelle"/>
          <w:color w:val="17365D" w:themeColor="text2" w:themeShade="BF"/>
          <w:sz w:val="20"/>
          <w:szCs w:val="20"/>
        </w:rPr>
        <w:t>osteoporotik</w:t>
      </w:r>
      <w:proofErr w:type="spellEnd"/>
      <w:r w:rsidRPr="00CF4AE2">
        <w:rPr>
          <w:color w:val="17365D" w:themeColor="text2" w:themeShade="BF"/>
          <w:sz w:val="20"/>
          <w:szCs w:val="20"/>
        </w:rPr>
        <w:t xml:space="preserve"> patolojik kalça kırığı belirtilen hastalarda KMY ölçümü şartı aranmaz.</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Bu ilaçlar;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1. Patolojik kırığı olan hastalarda </w:t>
      </w:r>
      <w:proofErr w:type="spellStart"/>
      <w:r w:rsidRPr="00CF4AE2">
        <w:rPr>
          <w:rStyle w:val="spelle"/>
          <w:color w:val="17365D" w:themeColor="text2" w:themeShade="BF"/>
          <w:sz w:val="20"/>
          <w:szCs w:val="20"/>
        </w:rPr>
        <w:t>lomber</w:t>
      </w:r>
      <w:proofErr w:type="spellEnd"/>
      <w:r w:rsidRPr="00CF4AE2">
        <w:rPr>
          <w:color w:val="17365D" w:themeColor="text2" w:themeShade="BF"/>
          <w:sz w:val="20"/>
          <w:szCs w:val="20"/>
        </w:rPr>
        <w:t xml:space="preserve"> bölgeden </w:t>
      </w:r>
      <w:proofErr w:type="spellStart"/>
      <w:r w:rsidRPr="00CF4AE2">
        <w:rPr>
          <w:rStyle w:val="spelle"/>
          <w:color w:val="17365D" w:themeColor="text2" w:themeShade="BF"/>
          <w:sz w:val="20"/>
          <w:szCs w:val="20"/>
        </w:rPr>
        <w:t>posteroanterior</w:t>
      </w:r>
      <w:proofErr w:type="spellEnd"/>
      <w:r w:rsidRPr="00CF4AE2">
        <w:rPr>
          <w:color w:val="17365D" w:themeColor="text2" w:themeShade="BF"/>
          <w:sz w:val="20"/>
          <w:szCs w:val="20"/>
        </w:rPr>
        <w:t xml:space="preserve"> yapılan kemik mineral yoğunluk (KMY) </w:t>
      </w:r>
      <w:proofErr w:type="gramStart"/>
      <w:r w:rsidRPr="00CF4AE2">
        <w:rPr>
          <w:rStyle w:val="grame"/>
          <w:color w:val="17365D" w:themeColor="text2" w:themeShade="BF"/>
          <w:sz w:val="20"/>
          <w:szCs w:val="20"/>
        </w:rPr>
        <w:t xml:space="preserve">ölçümünde  </w:t>
      </w:r>
      <w:proofErr w:type="spellStart"/>
      <w:r w:rsidRPr="00CF4AE2">
        <w:rPr>
          <w:rStyle w:val="spelle"/>
          <w:color w:val="17365D" w:themeColor="text2" w:themeShade="BF"/>
          <w:sz w:val="20"/>
          <w:szCs w:val="20"/>
        </w:rPr>
        <w:t>lomber</w:t>
      </w:r>
      <w:proofErr w:type="spellEnd"/>
      <w:proofErr w:type="gramEnd"/>
      <w:r w:rsidRPr="00CF4AE2">
        <w:rPr>
          <w:color w:val="17365D" w:themeColor="text2" w:themeShade="BF"/>
          <w:sz w:val="20"/>
          <w:szCs w:val="20"/>
        </w:rPr>
        <w:t xml:space="preserve"> total (L1-4 veya L2-4)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total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boynu KMY ölçümünde “T” değerlerinden herhangi birinin -1 veya daha düşük olması durumunda,</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2. Patolojik kırığı olmayan 65 yaş ve üzeri hastalarda, </w:t>
      </w:r>
      <w:proofErr w:type="spellStart"/>
      <w:r w:rsidRPr="00CF4AE2">
        <w:rPr>
          <w:rStyle w:val="spelle"/>
          <w:color w:val="17365D" w:themeColor="text2" w:themeShade="BF"/>
          <w:sz w:val="20"/>
          <w:szCs w:val="20"/>
        </w:rPr>
        <w:t>lomber</w:t>
      </w:r>
      <w:proofErr w:type="spellEnd"/>
      <w:r w:rsidRPr="00CF4AE2">
        <w:rPr>
          <w:color w:val="17365D" w:themeColor="text2" w:themeShade="BF"/>
          <w:sz w:val="20"/>
          <w:szCs w:val="20"/>
        </w:rPr>
        <w:t xml:space="preserve"> bölgeden </w:t>
      </w:r>
      <w:proofErr w:type="spellStart"/>
      <w:r w:rsidRPr="00CF4AE2">
        <w:rPr>
          <w:rStyle w:val="spelle"/>
          <w:color w:val="17365D" w:themeColor="text2" w:themeShade="BF"/>
          <w:sz w:val="20"/>
          <w:szCs w:val="20"/>
        </w:rPr>
        <w:t>posteroanterior</w:t>
      </w:r>
      <w:proofErr w:type="spellEnd"/>
      <w:r w:rsidRPr="00CF4AE2">
        <w:rPr>
          <w:color w:val="17365D" w:themeColor="text2" w:themeShade="BF"/>
          <w:sz w:val="20"/>
          <w:szCs w:val="20"/>
        </w:rPr>
        <w:t xml:space="preserve"> yapılan kemik mineral yoğunluk (KMY) </w:t>
      </w:r>
      <w:proofErr w:type="gramStart"/>
      <w:r w:rsidRPr="00CF4AE2">
        <w:rPr>
          <w:rStyle w:val="grame"/>
          <w:color w:val="17365D" w:themeColor="text2" w:themeShade="BF"/>
          <w:sz w:val="20"/>
          <w:szCs w:val="20"/>
        </w:rPr>
        <w:t xml:space="preserve">ölçümünde  </w:t>
      </w:r>
      <w:proofErr w:type="spellStart"/>
      <w:r w:rsidRPr="00CF4AE2">
        <w:rPr>
          <w:rStyle w:val="spelle"/>
          <w:color w:val="17365D" w:themeColor="text2" w:themeShade="BF"/>
          <w:sz w:val="20"/>
          <w:szCs w:val="20"/>
        </w:rPr>
        <w:t>lomber</w:t>
      </w:r>
      <w:proofErr w:type="spellEnd"/>
      <w:proofErr w:type="gramEnd"/>
      <w:r w:rsidRPr="00CF4AE2">
        <w:rPr>
          <w:color w:val="17365D" w:themeColor="text2" w:themeShade="BF"/>
          <w:sz w:val="20"/>
          <w:szCs w:val="20"/>
        </w:rPr>
        <w:t xml:space="preserve"> total (L1-4 veya L2-4)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total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boynu KMY ölçümünde “T” değerlerinden herhangi birinin  -2,5 veya daha düşük olması durumunda,</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lastRenderedPageBreak/>
        <w:tab/>
        <w:t xml:space="preserve">3. Patolojik kırığı olmayan 65 yaş altı hastalarda; </w:t>
      </w:r>
      <w:proofErr w:type="spellStart"/>
      <w:r w:rsidRPr="00CF4AE2">
        <w:rPr>
          <w:rStyle w:val="spelle"/>
          <w:color w:val="17365D" w:themeColor="text2" w:themeShade="BF"/>
          <w:sz w:val="20"/>
          <w:szCs w:val="20"/>
        </w:rPr>
        <w:t>lomber</w:t>
      </w:r>
      <w:proofErr w:type="spellEnd"/>
      <w:r w:rsidRPr="00CF4AE2">
        <w:rPr>
          <w:color w:val="17365D" w:themeColor="text2" w:themeShade="BF"/>
          <w:sz w:val="20"/>
          <w:szCs w:val="20"/>
        </w:rPr>
        <w:t xml:space="preserve"> bölgeden </w:t>
      </w:r>
      <w:proofErr w:type="spellStart"/>
      <w:r w:rsidRPr="00CF4AE2">
        <w:rPr>
          <w:rStyle w:val="spelle"/>
          <w:color w:val="17365D" w:themeColor="text2" w:themeShade="BF"/>
          <w:sz w:val="20"/>
          <w:szCs w:val="20"/>
        </w:rPr>
        <w:t>posteroanterior</w:t>
      </w:r>
      <w:proofErr w:type="spellEnd"/>
      <w:r w:rsidRPr="00CF4AE2">
        <w:rPr>
          <w:color w:val="17365D" w:themeColor="text2" w:themeShade="BF"/>
          <w:sz w:val="20"/>
          <w:szCs w:val="20"/>
        </w:rPr>
        <w:t xml:space="preserve"> yapılan kemik mineral yoğunluk (KMY) ölçümünde </w:t>
      </w:r>
      <w:proofErr w:type="spellStart"/>
      <w:r w:rsidRPr="00CF4AE2">
        <w:rPr>
          <w:rStyle w:val="spelle"/>
          <w:color w:val="17365D" w:themeColor="text2" w:themeShade="BF"/>
          <w:sz w:val="20"/>
          <w:szCs w:val="20"/>
        </w:rPr>
        <w:t>lomber</w:t>
      </w:r>
      <w:proofErr w:type="spellEnd"/>
      <w:r w:rsidRPr="00CF4AE2">
        <w:rPr>
          <w:color w:val="17365D" w:themeColor="text2" w:themeShade="BF"/>
          <w:sz w:val="20"/>
          <w:szCs w:val="20"/>
        </w:rPr>
        <w:t xml:space="preserve"> total (L1-4 veya L2-4)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total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boynu KMY ölçümünde “T” değerlerinden herhangi birinin -3 veya daha düşük olması durumunda,</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4. </w:t>
      </w:r>
      <w:proofErr w:type="spellStart"/>
      <w:r w:rsidRPr="00CF4AE2">
        <w:rPr>
          <w:rStyle w:val="spelle"/>
          <w:color w:val="17365D" w:themeColor="text2" w:themeShade="BF"/>
          <w:sz w:val="20"/>
          <w:szCs w:val="20"/>
        </w:rPr>
        <w:t>Romatoid</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artrit</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çölyak</w:t>
      </w:r>
      <w:proofErr w:type="spellEnd"/>
      <w:r w:rsidRPr="00CF4AE2">
        <w:rPr>
          <w:color w:val="17365D" w:themeColor="text2" w:themeShade="BF"/>
          <w:sz w:val="20"/>
          <w:szCs w:val="20"/>
        </w:rPr>
        <w:t xml:space="preserve"> hastalığı, kronik </w:t>
      </w:r>
      <w:proofErr w:type="spellStart"/>
      <w:r w:rsidRPr="00CF4AE2">
        <w:rPr>
          <w:rStyle w:val="spelle"/>
          <w:color w:val="17365D" w:themeColor="text2" w:themeShade="BF"/>
          <w:sz w:val="20"/>
          <w:szCs w:val="20"/>
        </w:rPr>
        <w:t>inflamatuar</w:t>
      </w:r>
      <w:proofErr w:type="spellEnd"/>
      <w:r w:rsidRPr="00CF4AE2">
        <w:rPr>
          <w:color w:val="17365D" w:themeColor="text2" w:themeShade="BF"/>
          <w:sz w:val="20"/>
          <w:szCs w:val="20"/>
        </w:rPr>
        <w:t xml:space="preserve"> barsak hastalığı (</w:t>
      </w:r>
      <w:proofErr w:type="spellStart"/>
      <w:r w:rsidRPr="00CF4AE2">
        <w:rPr>
          <w:rStyle w:val="spelle"/>
          <w:color w:val="17365D" w:themeColor="text2" w:themeShade="BF"/>
          <w:sz w:val="20"/>
          <w:szCs w:val="20"/>
        </w:rPr>
        <w:t>Crohn</w:t>
      </w:r>
      <w:proofErr w:type="spellEnd"/>
      <w:r w:rsidRPr="00CF4AE2">
        <w:rPr>
          <w:color w:val="17365D" w:themeColor="text2" w:themeShade="BF"/>
          <w:sz w:val="20"/>
          <w:szCs w:val="20"/>
        </w:rPr>
        <w:t xml:space="preserve"> hastalığı veya </w:t>
      </w:r>
      <w:proofErr w:type="spellStart"/>
      <w:r w:rsidRPr="00CF4AE2">
        <w:rPr>
          <w:rStyle w:val="spelle"/>
          <w:color w:val="17365D" w:themeColor="text2" w:themeShade="BF"/>
          <w:sz w:val="20"/>
          <w:szCs w:val="20"/>
        </w:rPr>
        <w:t>ülseratif</w:t>
      </w:r>
      <w:proofErr w:type="spellEnd"/>
      <w:r w:rsidRPr="00CF4AE2">
        <w:rPr>
          <w:color w:val="17365D" w:themeColor="text2" w:themeShade="BF"/>
          <w:sz w:val="20"/>
          <w:szCs w:val="20"/>
        </w:rPr>
        <w:t xml:space="preserve"> kolit), </w:t>
      </w:r>
      <w:proofErr w:type="spellStart"/>
      <w:r w:rsidRPr="00CF4AE2">
        <w:rPr>
          <w:rStyle w:val="spelle"/>
          <w:color w:val="17365D" w:themeColor="text2" w:themeShade="BF"/>
          <w:sz w:val="20"/>
          <w:szCs w:val="20"/>
        </w:rPr>
        <w:t>ankilozan</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spondilit</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hipertiroidi</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hipogonadizm</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hipopituitarizm</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anoreksia</w:t>
      </w:r>
      <w:proofErr w:type="spellEnd"/>
      <w:r w:rsidRPr="00CF4AE2">
        <w:rPr>
          <w:color w:val="17365D" w:themeColor="text2" w:themeShade="BF"/>
          <w:sz w:val="20"/>
          <w:szCs w:val="20"/>
        </w:rPr>
        <w:t xml:space="preserve"> nevroza, kronik </w:t>
      </w:r>
      <w:proofErr w:type="spellStart"/>
      <w:r w:rsidRPr="00CF4AE2">
        <w:rPr>
          <w:rStyle w:val="spelle"/>
          <w:color w:val="17365D" w:themeColor="text2" w:themeShade="BF"/>
          <w:sz w:val="20"/>
          <w:szCs w:val="20"/>
        </w:rPr>
        <w:t>obstrüktif</w:t>
      </w:r>
      <w:proofErr w:type="spellEnd"/>
      <w:r w:rsidRPr="00CF4AE2">
        <w:rPr>
          <w:color w:val="17365D" w:themeColor="text2" w:themeShade="BF"/>
          <w:sz w:val="20"/>
          <w:szCs w:val="20"/>
        </w:rPr>
        <w:t xml:space="preserve"> akciğer hastalığı, tip I diyabet, uzun süreli (en az 3 ay) ve &gt; 5mg/gün sistemik </w:t>
      </w:r>
      <w:proofErr w:type="spellStart"/>
      <w:r w:rsidRPr="00CF4AE2">
        <w:rPr>
          <w:rStyle w:val="spelle"/>
          <w:color w:val="17365D" w:themeColor="text2" w:themeShade="BF"/>
          <w:sz w:val="20"/>
          <w:szCs w:val="20"/>
        </w:rPr>
        <w:t>kortikosteroid</w:t>
      </w:r>
      <w:proofErr w:type="spellEnd"/>
      <w:r w:rsidRPr="00CF4AE2">
        <w:rPr>
          <w:color w:val="17365D" w:themeColor="text2" w:themeShade="BF"/>
          <w:sz w:val="20"/>
          <w:szCs w:val="20"/>
        </w:rPr>
        <w:t xml:space="preserve"> kullanımı veya organ nakli uygulanmış hastalarda; </w:t>
      </w:r>
      <w:proofErr w:type="spellStart"/>
      <w:r w:rsidRPr="00CF4AE2">
        <w:rPr>
          <w:rStyle w:val="spelle"/>
          <w:color w:val="17365D" w:themeColor="text2" w:themeShade="BF"/>
          <w:sz w:val="20"/>
          <w:szCs w:val="20"/>
        </w:rPr>
        <w:t>sekonder</w:t>
      </w:r>
      <w:proofErr w:type="spellEnd"/>
      <w:r w:rsidRPr="00CF4AE2">
        <w:rPr>
          <w:color w:val="17365D" w:themeColor="text2" w:themeShade="BF"/>
          <w:sz w:val="20"/>
          <w:szCs w:val="20"/>
        </w:rPr>
        <w:t xml:space="preserve"> gelişen osteoporozda (KMY) </w:t>
      </w:r>
      <w:proofErr w:type="gramStart"/>
      <w:r w:rsidRPr="00CF4AE2">
        <w:rPr>
          <w:rStyle w:val="grame"/>
          <w:color w:val="17365D" w:themeColor="text2" w:themeShade="BF"/>
          <w:sz w:val="20"/>
          <w:szCs w:val="20"/>
        </w:rPr>
        <w:t xml:space="preserve">ölçümünde  </w:t>
      </w:r>
      <w:proofErr w:type="spellStart"/>
      <w:r w:rsidRPr="00CF4AE2">
        <w:rPr>
          <w:rStyle w:val="spelle"/>
          <w:color w:val="17365D" w:themeColor="text2" w:themeShade="BF"/>
          <w:sz w:val="20"/>
          <w:szCs w:val="20"/>
        </w:rPr>
        <w:t>lomber</w:t>
      </w:r>
      <w:proofErr w:type="spellEnd"/>
      <w:proofErr w:type="gramEnd"/>
      <w:r w:rsidRPr="00CF4AE2">
        <w:rPr>
          <w:color w:val="17365D" w:themeColor="text2" w:themeShade="BF"/>
          <w:sz w:val="20"/>
          <w:szCs w:val="20"/>
        </w:rPr>
        <w:t xml:space="preserve"> total (L1-4 veya L2-4)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total veya </w:t>
      </w:r>
      <w:proofErr w:type="spellStart"/>
      <w:r w:rsidRPr="00CF4AE2">
        <w:rPr>
          <w:rStyle w:val="spelle"/>
          <w:color w:val="17365D" w:themeColor="text2" w:themeShade="BF"/>
          <w:sz w:val="20"/>
          <w:szCs w:val="20"/>
        </w:rPr>
        <w:t>femur</w:t>
      </w:r>
      <w:proofErr w:type="spellEnd"/>
      <w:r w:rsidRPr="00CF4AE2">
        <w:rPr>
          <w:color w:val="17365D" w:themeColor="text2" w:themeShade="BF"/>
          <w:sz w:val="20"/>
          <w:szCs w:val="20"/>
        </w:rPr>
        <w:t xml:space="preserve"> boynu KMY ölçümünde “T” değerlerinden herhangi birinin  -1 veya daha düşük olması durumunda, (</w:t>
      </w:r>
      <w:proofErr w:type="spellStart"/>
      <w:r w:rsidRPr="00CF4AE2">
        <w:rPr>
          <w:rStyle w:val="spelle"/>
          <w:color w:val="17365D" w:themeColor="text2" w:themeShade="BF"/>
          <w:sz w:val="20"/>
          <w:szCs w:val="20"/>
        </w:rPr>
        <w:t>primer</w:t>
      </w:r>
      <w:proofErr w:type="spellEnd"/>
      <w:r w:rsidRPr="00CF4AE2">
        <w:rPr>
          <w:color w:val="17365D" w:themeColor="text2" w:themeShade="BF"/>
          <w:sz w:val="20"/>
          <w:szCs w:val="20"/>
        </w:rPr>
        <w:t xml:space="preserve"> hastalığını da belirtir sağlık raporu ile birlikte) </w:t>
      </w:r>
      <w:proofErr w:type="spellStart"/>
      <w:r w:rsidRPr="00CF4AE2">
        <w:rPr>
          <w:rStyle w:val="spelle"/>
          <w:color w:val="17365D" w:themeColor="text2" w:themeShade="BF"/>
          <w:sz w:val="20"/>
          <w:szCs w:val="20"/>
        </w:rPr>
        <w:t>reçetelenir</w:t>
      </w:r>
      <w:proofErr w:type="spellEnd"/>
      <w:r w:rsidRPr="00CF4AE2">
        <w:rPr>
          <w:color w:val="17365D" w:themeColor="text2" w:themeShade="BF"/>
          <w:sz w:val="20"/>
          <w:szCs w:val="20"/>
        </w:rPr>
        <w:t>.</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r>
      <w:proofErr w:type="spellStart"/>
      <w:r w:rsidRPr="00CF4AE2">
        <w:rPr>
          <w:rStyle w:val="spelle"/>
          <w:color w:val="17365D" w:themeColor="text2" w:themeShade="BF"/>
          <w:sz w:val="20"/>
          <w:szCs w:val="20"/>
        </w:rPr>
        <w:t>Bifosfanat</w:t>
      </w:r>
      <w:proofErr w:type="spellEnd"/>
      <w:r w:rsidRPr="00CF4AE2">
        <w:rPr>
          <w:color w:val="17365D" w:themeColor="text2" w:themeShade="BF"/>
          <w:sz w:val="20"/>
          <w:szCs w:val="20"/>
        </w:rPr>
        <w:t xml:space="preserve"> grubu ilaçlar; iç hastalıkları, FTR, ortopedi ve </w:t>
      </w:r>
      <w:proofErr w:type="gramStart"/>
      <w:r w:rsidRPr="00CF4AE2">
        <w:rPr>
          <w:rStyle w:val="grame"/>
          <w:color w:val="17365D" w:themeColor="text2" w:themeShade="BF"/>
          <w:sz w:val="20"/>
          <w:szCs w:val="20"/>
        </w:rPr>
        <w:t>travmatoloji</w:t>
      </w:r>
      <w:proofErr w:type="gram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romatoloji</w:t>
      </w:r>
      <w:proofErr w:type="spellEnd"/>
      <w:r w:rsidRPr="00CF4AE2">
        <w:rPr>
          <w:color w:val="17365D" w:themeColor="text2" w:themeShade="BF"/>
          <w:sz w:val="20"/>
          <w:szCs w:val="20"/>
        </w:rPr>
        <w:t>, kadın hastalıkları ve doğum uzmanları tarafından düzenlenen uzman hekim raporu ile tüm uzman hekimlerce reçete edilebilir.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Stronsiyum </w:t>
      </w:r>
      <w:proofErr w:type="spellStart"/>
      <w:r w:rsidRPr="00CF4AE2">
        <w:rPr>
          <w:rStyle w:val="spelle"/>
          <w:color w:val="17365D" w:themeColor="text2" w:themeShade="BF"/>
          <w:sz w:val="20"/>
          <w:szCs w:val="20"/>
        </w:rPr>
        <w:t>ranelat</w:t>
      </w:r>
      <w:proofErr w:type="spellEnd"/>
      <w:r w:rsidRPr="00CF4AE2">
        <w:rPr>
          <w:color w:val="17365D" w:themeColor="text2" w:themeShade="BF"/>
          <w:sz w:val="20"/>
          <w:szCs w:val="20"/>
        </w:rPr>
        <w:t xml:space="preserve"> ve </w:t>
      </w:r>
      <w:proofErr w:type="spellStart"/>
      <w:r w:rsidRPr="00CF4AE2">
        <w:rPr>
          <w:rStyle w:val="spelle"/>
          <w:color w:val="17365D" w:themeColor="text2" w:themeShade="BF"/>
          <w:sz w:val="20"/>
          <w:szCs w:val="20"/>
        </w:rPr>
        <w:t>raloksifen</w:t>
      </w:r>
      <w:proofErr w:type="spellEnd"/>
      <w:r w:rsidRPr="00CF4AE2">
        <w:rPr>
          <w:color w:val="17365D" w:themeColor="text2" w:themeShade="BF"/>
          <w:sz w:val="20"/>
          <w:szCs w:val="20"/>
        </w:rPr>
        <w:t xml:space="preserve">; yalnızca </w:t>
      </w:r>
      <w:proofErr w:type="spellStart"/>
      <w:r w:rsidRPr="00CF4AE2">
        <w:rPr>
          <w:rStyle w:val="spelle"/>
          <w:color w:val="17365D" w:themeColor="text2" w:themeShade="BF"/>
          <w:sz w:val="20"/>
          <w:szCs w:val="20"/>
        </w:rPr>
        <w:t>bifosfonatları</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tolere</w:t>
      </w:r>
      <w:proofErr w:type="spellEnd"/>
      <w:r w:rsidRPr="00CF4AE2">
        <w:rPr>
          <w:color w:val="17365D" w:themeColor="text2" w:themeShade="BF"/>
          <w:sz w:val="20"/>
          <w:szCs w:val="20"/>
        </w:rPr>
        <w:t xml:space="preserve"> edemeyen veya yeterli yanıt alınamayan hastalarda bu durumun, iç hastalıkları, FTR, </w:t>
      </w:r>
      <w:proofErr w:type="spellStart"/>
      <w:r w:rsidRPr="00CF4AE2">
        <w:rPr>
          <w:rStyle w:val="spelle"/>
          <w:color w:val="17365D" w:themeColor="text2" w:themeShade="BF"/>
          <w:sz w:val="20"/>
          <w:szCs w:val="20"/>
        </w:rPr>
        <w:t>romatoloji</w:t>
      </w:r>
      <w:proofErr w:type="spellEnd"/>
      <w:r w:rsidRPr="00CF4AE2">
        <w:rPr>
          <w:color w:val="17365D" w:themeColor="text2" w:themeShade="BF"/>
          <w:sz w:val="20"/>
          <w:szCs w:val="20"/>
        </w:rPr>
        <w:t xml:space="preserve">, ortopedi ve </w:t>
      </w:r>
      <w:proofErr w:type="gramStart"/>
      <w:r w:rsidRPr="00CF4AE2">
        <w:rPr>
          <w:rStyle w:val="grame"/>
          <w:color w:val="17365D" w:themeColor="text2" w:themeShade="BF"/>
          <w:sz w:val="20"/>
          <w:szCs w:val="20"/>
        </w:rPr>
        <w:t>travmatoloji</w:t>
      </w:r>
      <w:proofErr w:type="gramEnd"/>
      <w:r w:rsidRPr="00CF4AE2">
        <w:rPr>
          <w:color w:val="17365D" w:themeColor="text2" w:themeShade="BF"/>
          <w:sz w:val="20"/>
          <w:szCs w:val="20"/>
        </w:rPr>
        <w:t>, kadın hastalıkları ve doğum uzmanlarından en az birinin yer aldığı sağlık kurulu raporunda belirtilmesi halinde, bu rapora dayanılarak tüm uzman hekimlerce reçete edilebilir.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r>
      <w:proofErr w:type="spellStart"/>
      <w:r w:rsidRPr="00CF4AE2">
        <w:rPr>
          <w:rStyle w:val="spelle"/>
          <w:color w:val="17365D" w:themeColor="text2" w:themeShade="BF"/>
          <w:sz w:val="20"/>
          <w:szCs w:val="20"/>
        </w:rPr>
        <w:t>Kalsitonin</w:t>
      </w:r>
      <w:proofErr w:type="spellEnd"/>
      <w:r w:rsidRPr="00CF4AE2">
        <w:rPr>
          <w:color w:val="17365D" w:themeColor="text2" w:themeShade="BF"/>
          <w:sz w:val="20"/>
          <w:szCs w:val="20"/>
        </w:rPr>
        <w:t xml:space="preserve">, ağrılı </w:t>
      </w:r>
      <w:proofErr w:type="spellStart"/>
      <w:r w:rsidRPr="00CF4AE2">
        <w:rPr>
          <w:rStyle w:val="spelle"/>
          <w:color w:val="17365D" w:themeColor="text2" w:themeShade="BF"/>
          <w:sz w:val="20"/>
          <w:szCs w:val="20"/>
        </w:rPr>
        <w:t>vertebral</w:t>
      </w:r>
      <w:proofErr w:type="spellEnd"/>
      <w:r w:rsidRPr="00CF4AE2">
        <w:rPr>
          <w:color w:val="17365D" w:themeColor="text2" w:themeShade="BF"/>
          <w:sz w:val="20"/>
          <w:szCs w:val="20"/>
        </w:rPr>
        <w:t xml:space="preserve"> kırığı bulunan osteoporozlu hastalarda bu durumun, iç hastalıkları, FTR, </w:t>
      </w:r>
      <w:proofErr w:type="spellStart"/>
      <w:r w:rsidRPr="00CF4AE2">
        <w:rPr>
          <w:rStyle w:val="spelle"/>
          <w:color w:val="17365D" w:themeColor="text2" w:themeShade="BF"/>
          <w:sz w:val="20"/>
          <w:szCs w:val="20"/>
        </w:rPr>
        <w:t>romatoloji</w:t>
      </w:r>
      <w:proofErr w:type="spellEnd"/>
      <w:r w:rsidRPr="00CF4AE2">
        <w:rPr>
          <w:color w:val="17365D" w:themeColor="text2" w:themeShade="BF"/>
          <w:sz w:val="20"/>
          <w:szCs w:val="20"/>
        </w:rPr>
        <w:t xml:space="preserve">, ortopedi ve </w:t>
      </w:r>
      <w:proofErr w:type="gramStart"/>
      <w:r w:rsidRPr="00CF4AE2">
        <w:rPr>
          <w:rStyle w:val="grame"/>
          <w:color w:val="17365D" w:themeColor="text2" w:themeShade="BF"/>
          <w:sz w:val="20"/>
          <w:szCs w:val="20"/>
        </w:rPr>
        <w:t>travmatoloji</w:t>
      </w:r>
      <w:proofErr w:type="gramEnd"/>
      <w:r w:rsidRPr="00CF4AE2">
        <w:rPr>
          <w:color w:val="17365D" w:themeColor="text2" w:themeShade="BF"/>
          <w:sz w:val="20"/>
          <w:szCs w:val="20"/>
        </w:rPr>
        <w:t xml:space="preserve">, kadın hastalıkları ve doğum uzmanlarından en az birinin yer aldığı sağlık kurulu raporunda belirtilmesi halinde her ağrılı </w:t>
      </w:r>
      <w:proofErr w:type="spellStart"/>
      <w:r w:rsidRPr="00CF4AE2">
        <w:rPr>
          <w:rStyle w:val="spelle"/>
          <w:color w:val="17365D" w:themeColor="text2" w:themeShade="BF"/>
          <w:sz w:val="20"/>
          <w:szCs w:val="20"/>
        </w:rPr>
        <w:t>vertebral</w:t>
      </w:r>
      <w:proofErr w:type="spellEnd"/>
      <w:r w:rsidRPr="00CF4AE2">
        <w:rPr>
          <w:color w:val="17365D" w:themeColor="text2" w:themeShade="BF"/>
          <w:sz w:val="20"/>
          <w:szCs w:val="20"/>
        </w:rPr>
        <w:t xml:space="preserve"> kırık durumunda en fazla 3 aylık tedavi dozu verilmesi koşulu ile bu uzman hekimlerce reçete edilebilir. </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r>
      <w:proofErr w:type="spellStart"/>
      <w:r w:rsidRPr="00CF4AE2">
        <w:rPr>
          <w:rStyle w:val="spelle"/>
          <w:color w:val="17365D" w:themeColor="text2" w:themeShade="BF"/>
          <w:sz w:val="20"/>
          <w:szCs w:val="20"/>
        </w:rPr>
        <w:t>Kalsitonin</w:t>
      </w:r>
      <w:proofErr w:type="spellEnd"/>
      <w:r w:rsidRPr="00CF4AE2">
        <w:rPr>
          <w:color w:val="17365D" w:themeColor="text2" w:themeShade="BF"/>
          <w:sz w:val="20"/>
          <w:szCs w:val="20"/>
        </w:rPr>
        <w:t xml:space="preserve">, ağrılı </w:t>
      </w:r>
      <w:proofErr w:type="spellStart"/>
      <w:r w:rsidRPr="00CF4AE2">
        <w:rPr>
          <w:rStyle w:val="spelle"/>
          <w:color w:val="17365D" w:themeColor="text2" w:themeShade="BF"/>
          <w:sz w:val="20"/>
          <w:szCs w:val="20"/>
        </w:rPr>
        <w:t>vertebral</w:t>
      </w:r>
      <w:proofErr w:type="spellEnd"/>
      <w:r w:rsidRPr="00CF4AE2">
        <w:rPr>
          <w:color w:val="17365D" w:themeColor="text2" w:themeShade="BF"/>
          <w:sz w:val="20"/>
          <w:szCs w:val="20"/>
        </w:rPr>
        <w:t xml:space="preserve"> kırığı bulunmayan osteoporozlu ve </w:t>
      </w:r>
      <w:proofErr w:type="spellStart"/>
      <w:r w:rsidRPr="00CF4AE2">
        <w:rPr>
          <w:rStyle w:val="spelle"/>
          <w:color w:val="17365D" w:themeColor="text2" w:themeShade="BF"/>
          <w:sz w:val="20"/>
          <w:szCs w:val="20"/>
        </w:rPr>
        <w:t>bifosfonatları</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tolere</w:t>
      </w:r>
      <w:proofErr w:type="spellEnd"/>
      <w:r w:rsidRPr="00CF4AE2">
        <w:rPr>
          <w:color w:val="17365D" w:themeColor="text2" w:themeShade="BF"/>
          <w:sz w:val="20"/>
          <w:szCs w:val="20"/>
        </w:rPr>
        <w:t xml:space="preserve"> edemeyen veya yeterli yanıt alınamayan hastalarda, bu durumun iç hastalıkları, FTR, ortopedi ve </w:t>
      </w:r>
      <w:proofErr w:type="gramStart"/>
      <w:r w:rsidRPr="00CF4AE2">
        <w:rPr>
          <w:rStyle w:val="grame"/>
          <w:color w:val="17365D" w:themeColor="text2" w:themeShade="BF"/>
          <w:sz w:val="20"/>
          <w:szCs w:val="20"/>
        </w:rPr>
        <w:t>travmatoloji</w:t>
      </w:r>
      <w:proofErr w:type="gram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romatoloji</w:t>
      </w:r>
      <w:proofErr w:type="spellEnd"/>
      <w:r w:rsidRPr="00CF4AE2">
        <w:rPr>
          <w:color w:val="17365D" w:themeColor="text2" w:themeShade="BF"/>
          <w:sz w:val="20"/>
          <w:szCs w:val="20"/>
        </w:rPr>
        <w:t>, kadın hastalıkları ve doğum uzmanlarından en az birinin yer aldığı sağlık kurulu raporunda belirtilmesi halinde, yalnızca üniversite veya eğitim ve araştırma hastanelerinde bu uzmanlarca reçete edilerek kullanılabilir.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Aktif D vitaminleri (</w:t>
      </w:r>
      <w:proofErr w:type="spellStart"/>
      <w:r w:rsidRPr="00CF4AE2">
        <w:rPr>
          <w:rStyle w:val="spelle"/>
          <w:color w:val="17365D" w:themeColor="text2" w:themeShade="BF"/>
          <w:sz w:val="20"/>
          <w:szCs w:val="20"/>
        </w:rPr>
        <w:t>kalsitriol</w:t>
      </w:r>
      <w:proofErr w:type="spellEnd"/>
      <w:r w:rsidRPr="00CF4AE2">
        <w:rPr>
          <w:color w:val="17365D" w:themeColor="text2" w:themeShade="BF"/>
          <w:sz w:val="20"/>
          <w:szCs w:val="20"/>
        </w:rPr>
        <w:t xml:space="preserve"> ve </w:t>
      </w:r>
      <w:proofErr w:type="spellStart"/>
      <w:r w:rsidRPr="00CF4AE2">
        <w:rPr>
          <w:rStyle w:val="spelle"/>
          <w:color w:val="17365D" w:themeColor="text2" w:themeShade="BF"/>
          <w:sz w:val="20"/>
          <w:szCs w:val="20"/>
        </w:rPr>
        <w:t>alfakalsidol</w:t>
      </w:r>
      <w:proofErr w:type="spellEnd"/>
      <w:r w:rsidRPr="00CF4AE2">
        <w:rPr>
          <w:color w:val="17365D" w:themeColor="text2" w:themeShade="BF"/>
          <w:sz w:val="20"/>
          <w:szCs w:val="20"/>
        </w:rPr>
        <w:t>) osteoporoz tedavisinde ödenmez. (Ek-2 listesindeki düzenlemeler hariç)</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12.7.17.2.</w:t>
      </w:r>
      <w:proofErr w:type="spellStart"/>
      <w:r w:rsidRPr="00CF4AE2">
        <w:rPr>
          <w:rStyle w:val="spelle"/>
          <w:color w:val="17365D" w:themeColor="text2" w:themeShade="BF"/>
          <w:sz w:val="20"/>
          <w:szCs w:val="20"/>
        </w:rPr>
        <w:t>Sudek</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atrofisin</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Algonörodistrofi</w:t>
      </w:r>
      <w:proofErr w:type="spellEnd"/>
      <w:r w:rsidRPr="00CF4AE2">
        <w:rPr>
          <w:color w:val="17365D" w:themeColor="text2" w:themeShade="BF"/>
          <w:sz w:val="20"/>
          <w:szCs w:val="20"/>
        </w:rPr>
        <w:t xml:space="preserve">): </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Altı ay boyunca uygulanan standart tedavilere (analjezik, </w:t>
      </w:r>
      <w:proofErr w:type="gramStart"/>
      <w:r w:rsidRPr="00CF4AE2">
        <w:rPr>
          <w:rStyle w:val="grame"/>
          <w:color w:val="17365D" w:themeColor="text2" w:themeShade="BF"/>
          <w:sz w:val="20"/>
          <w:szCs w:val="20"/>
        </w:rPr>
        <w:t>fizyoterapi</w:t>
      </w:r>
      <w:proofErr w:type="gramEnd"/>
      <w:r w:rsidRPr="00CF4AE2">
        <w:rPr>
          <w:color w:val="17365D" w:themeColor="text2" w:themeShade="BF"/>
          <w:sz w:val="20"/>
          <w:szCs w:val="20"/>
        </w:rPr>
        <w:t xml:space="preserve">) rağmen yeterli cevap alınamadığının ve lokal kırığın raporda belirtilmesi halinde FTR veya ortopedi ve travmatoloji veya </w:t>
      </w:r>
      <w:proofErr w:type="spellStart"/>
      <w:r w:rsidRPr="00CF4AE2">
        <w:rPr>
          <w:rStyle w:val="spelle"/>
          <w:color w:val="17365D" w:themeColor="text2" w:themeShade="BF"/>
          <w:sz w:val="20"/>
          <w:szCs w:val="20"/>
        </w:rPr>
        <w:t>romatoloji</w:t>
      </w:r>
      <w:proofErr w:type="spellEnd"/>
      <w:r w:rsidRPr="00CF4AE2">
        <w:rPr>
          <w:color w:val="17365D" w:themeColor="text2" w:themeShade="BF"/>
          <w:sz w:val="20"/>
          <w:szCs w:val="20"/>
        </w:rPr>
        <w:t xml:space="preserve"> uzman hekim raporuna dayanılarak bu uzman hekimlerce reçete edilir. </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12.7.17.3. </w:t>
      </w:r>
      <w:proofErr w:type="spellStart"/>
      <w:r w:rsidRPr="00CF4AE2">
        <w:rPr>
          <w:rStyle w:val="spelle"/>
          <w:color w:val="17365D" w:themeColor="text2" w:themeShade="BF"/>
          <w:sz w:val="20"/>
          <w:szCs w:val="20"/>
        </w:rPr>
        <w:t>Paget</w:t>
      </w:r>
      <w:proofErr w:type="spellEnd"/>
      <w:r w:rsidRPr="00CF4AE2">
        <w:rPr>
          <w:color w:val="17365D" w:themeColor="text2" w:themeShade="BF"/>
          <w:sz w:val="20"/>
          <w:szCs w:val="20"/>
        </w:rPr>
        <w:t xml:space="preserve"> ve </w:t>
      </w:r>
      <w:proofErr w:type="spellStart"/>
      <w:r w:rsidRPr="00CF4AE2">
        <w:rPr>
          <w:rStyle w:val="spelle"/>
          <w:color w:val="17365D" w:themeColor="text2" w:themeShade="BF"/>
          <w:sz w:val="20"/>
          <w:szCs w:val="20"/>
        </w:rPr>
        <w:t>juvenil</w:t>
      </w:r>
      <w:proofErr w:type="spellEnd"/>
      <w:r w:rsidRPr="00CF4AE2">
        <w:rPr>
          <w:color w:val="17365D" w:themeColor="text2" w:themeShade="BF"/>
          <w:sz w:val="20"/>
          <w:szCs w:val="20"/>
        </w:rPr>
        <w:t xml:space="preserve"> osteoporoz:</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Uzman hekim raporuna dayanılarak uzman hekimlerce reçete edilir. Rapor süresi 1 yıldır.”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d) “</w:t>
      </w:r>
      <w:proofErr w:type="spellStart"/>
      <w:r w:rsidRPr="00CF4AE2">
        <w:rPr>
          <w:rStyle w:val="spelle"/>
          <w:color w:val="17365D" w:themeColor="text2" w:themeShade="BF"/>
          <w:sz w:val="20"/>
          <w:szCs w:val="20"/>
        </w:rPr>
        <w:t>Antiepileptik</w:t>
      </w:r>
      <w:proofErr w:type="spellEnd"/>
      <w:r w:rsidRPr="00CF4AE2">
        <w:rPr>
          <w:color w:val="17365D" w:themeColor="text2" w:themeShade="BF"/>
          <w:sz w:val="20"/>
          <w:szCs w:val="20"/>
        </w:rPr>
        <w:t xml:space="preserve"> ilaçların kullanım ilkeleri” başlıklı (25) numaralı bendinin (a) </w:t>
      </w:r>
      <w:proofErr w:type="spellStart"/>
      <w:r w:rsidRPr="00CF4AE2">
        <w:rPr>
          <w:rStyle w:val="spelle"/>
          <w:color w:val="17365D" w:themeColor="text2" w:themeShade="BF"/>
          <w:sz w:val="20"/>
          <w:szCs w:val="20"/>
        </w:rPr>
        <w:t>altbendinin</w:t>
      </w:r>
      <w:proofErr w:type="spellEnd"/>
      <w:r w:rsidRPr="00CF4AE2">
        <w:rPr>
          <w:color w:val="17365D" w:themeColor="text2" w:themeShade="BF"/>
          <w:sz w:val="20"/>
          <w:szCs w:val="20"/>
        </w:rPr>
        <w:t xml:space="preserve"> ikinci paragrafının sonuna, “</w:t>
      </w:r>
      <w:proofErr w:type="spellStart"/>
      <w:r w:rsidRPr="00CF4AE2">
        <w:rPr>
          <w:rStyle w:val="spelle"/>
          <w:color w:val="17365D" w:themeColor="text2" w:themeShade="BF"/>
          <w:sz w:val="20"/>
          <w:szCs w:val="20"/>
        </w:rPr>
        <w:t>Pregabalin</w:t>
      </w:r>
      <w:proofErr w:type="spellEnd"/>
      <w:r w:rsidRPr="00CF4AE2">
        <w:rPr>
          <w:color w:val="17365D" w:themeColor="text2" w:themeShade="BF"/>
          <w:sz w:val="20"/>
          <w:szCs w:val="20"/>
        </w:rPr>
        <w:t xml:space="preserve">, yaygın </w:t>
      </w:r>
      <w:proofErr w:type="spellStart"/>
      <w:r w:rsidRPr="00CF4AE2">
        <w:rPr>
          <w:rStyle w:val="spelle"/>
          <w:color w:val="17365D" w:themeColor="text2" w:themeShade="BF"/>
          <w:sz w:val="20"/>
          <w:szCs w:val="20"/>
        </w:rPr>
        <w:t>anksiyete</w:t>
      </w:r>
      <w:proofErr w:type="spellEnd"/>
      <w:r w:rsidRPr="00CF4AE2">
        <w:rPr>
          <w:color w:val="17365D" w:themeColor="text2" w:themeShade="BF"/>
          <w:sz w:val="20"/>
          <w:szCs w:val="20"/>
        </w:rPr>
        <w:t xml:space="preserve"> bozukluğu </w:t>
      </w:r>
      <w:proofErr w:type="spellStart"/>
      <w:r w:rsidRPr="00CF4AE2">
        <w:rPr>
          <w:rStyle w:val="spelle"/>
          <w:color w:val="17365D" w:themeColor="text2" w:themeShade="BF"/>
          <w:sz w:val="20"/>
          <w:szCs w:val="20"/>
        </w:rPr>
        <w:t>endikasyonunda</w:t>
      </w:r>
      <w:proofErr w:type="spellEnd"/>
      <w:r w:rsidRPr="00CF4AE2">
        <w:rPr>
          <w:color w:val="17365D" w:themeColor="text2" w:themeShade="BF"/>
          <w:sz w:val="20"/>
          <w:szCs w:val="20"/>
        </w:rPr>
        <w:t xml:space="preserve"> ödenmez” cümlesi eklenmiştir.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e) “Faktör ve diğer kan ürünlerinin reçete edilme ilkeleri” başlıklı (27) numaralı bendinin “Anti </w:t>
      </w:r>
      <w:proofErr w:type="spellStart"/>
      <w:r w:rsidRPr="00CF4AE2">
        <w:rPr>
          <w:rStyle w:val="spelle"/>
          <w:color w:val="17365D" w:themeColor="text2" w:themeShade="BF"/>
          <w:sz w:val="20"/>
          <w:szCs w:val="20"/>
        </w:rPr>
        <w:t>Rh</w:t>
      </w:r>
      <w:proofErr w:type="spellEnd"/>
      <w:r w:rsidRPr="00CF4AE2">
        <w:rPr>
          <w:color w:val="17365D" w:themeColor="text2" w:themeShade="BF"/>
          <w:sz w:val="20"/>
          <w:szCs w:val="20"/>
        </w:rPr>
        <w:t xml:space="preserve"> kullanım ilkeleri” başlıklı (B) </w:t>
      </w:r>
      <w:proofErr w:type="spellStart"/>
      <w:r w:rsidRPr="00CF4AE2">
        <w:rPr>
          <w:rStyle w:val="spelle"/>
          <w:color w:val="17365D" w:themeColor="text2" w:themeShade="BF"/>
          <w:sz w:val="20"/>
          <w:szCs w:val="20"/>
        </w:rPr>
        <w:t>altbendinin</w:t>
      </w:r>
      <w:proofErr w:type="spellEnd"/>
      <w:r w:rsidRPr="00CF4AE2">
        <w:rPr>
          <w:color w:val="17365D" w:themeColor="text2" w:themeShade="BF"/>
          <w:sz w:val="20"/>
          <w:szCs w:val="20"/>
        </w:rPr>
        <w:t xml:space="preserve"> (a) sırası aşağıdaki şekilde yeniden düzenlenmiştir.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“a) Doğum sonu, düşük veya </w:t>
      </w:r>
      <w:proofErr w:type="spellStart"/>
      <w:r w:rsidRPr="00CF4AE2">
        <w:rPr>
          <w:rStyle w:val="spelle"/>
          <w:color w:val="17365D" w:themeColor="text2" w:themeShade="BF"/>
          <w:sz w:val="20"/>
          <w:szCs w:val="20"/>
        </w:rPr>
        <w:t>küretaj</w:t>
      </w:r>
      <w:proofErr w:type="spellEnd"/>
      <w:r w:rsidRPr="00CF4AE2">
        <w:rPr>
          <w:color w:val="17365D" w:themeColor="text2" w:themeShade="BF"/>
          <w:sz w:val="20"/>
          <w:szCs w:val="20"/>
        </w:rPr>
        <w:t xml:space="preserve"> sonrası ve </w:t>
      </w:r>
      <w:proofErr w:type="spellStart"/>
      <w:r w:rsidRPr="00CF4AE2">
        <w:rPr>
          <w:rStyle w:val="spelle"/>
          <w:color w:val="17365D" w:themeColor="text2" w:themeShade="BF"/>
          <w:sz w:val="20"/>
          <w:szCs w:val="20"/>
        </w:rPr>
        <w:t>antenatal</w:t>
      </w:r>
      <w:proofErr w:type="spellEnd"/>
      <w:r w:rsidRPr="00CF4AE2">
        <w:rPr>
          <w:color w:val="17365D" w:themeColor="text2" w:themeShade="BF"/>
          <w:sz w:val="20"/>
          <w:szCs w:val="20"/>
        </w:rPr>
        <w:t xml:space="preserve"> kullanım; </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r>
      <w:proofErr w:type="gramStart"/>
      <w:r w:rsidRPr="00CF4AE2">
        <w:rPr>
          <w:rStyle w:val="grame"/>
          <w:color w:val="17365D" w:themeColor="text2" w:themeShade="BF"/>
          <w:sz w:val="20"/>
          <w:szCs w:val="20"/>
        </w:rPr>
        <w:t>anne</w:t>
      </w:r>
      <w:proofErr w:type="gramEnd"/>
      <w:r w:rsidRPr="00CF4AE2">
        <w:rPr>
          <w:color w:val="17365D" w:themeColor="text2" w:themeShade="BF"/>
          <w:sz w:val="20"/>
          <w:szCs w:val="20"/>
        </w:rPr>
        <w:t xml:space="preserve"> ve babanın kan gruplarının hasta dosyasında yer alması gerekmektedir.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Düşük doz anti </w:t>
      </w:r>
      <w:proofErr w:type="spellStart"/>
      <w:r w:rsidRPr="00CF4AE2">
        <w:rPr>
          <w:rStyle w:val="spelle"/>
          <w:color w:val="17365D" w:themeColor="text2" w:themeShade="BF"/>
          <w:sz w:val="20"/>
          <w:szCs w:val="20"/>
        </w:rPr>
        <w:t>Rh</w:t>
      </w:r>
      <w:proofErr w:type="spellEnd"/>
      <w:r w:rsidRPr="00CF4AE2">
        <w:rPr>
          <w:color w:val="17365D" w:themeColor="text2" w:themeShade="BF"/>
          <w:sz w:val="20"/>
          <w:szCs w:val="20"/>
        </w:rPr>
        <w:t xml:space="preserve"> (600IU) </w:t>
      </w:r>
      <w:proofErr w:type="spellStart"/>
      <w:r w:rsidRPr="00CF4AE2">
        <w:rPr>
          <w:rStyle w:val="spelle"/>
          <w:color w:val="17365D" w:themeColor="text2" w:themeShade="BF"/>
          <w:sz w:val="20"/>
          <w:szCs w:val="20"/>
        </w:rPr>
        <w:t>preperatları</w:t>
      </w:r>
      <w:proofErr w:type="spellEnd"/>
      <w:r w:rsidRPr="00CF4AE2">
        <w:rPr>
          <w:color w:val="17365D" w:themeColor="text2" w:themeShade="BF"/>
          <w:sz w:val="20"/>
          <w:szCs w:val="20"/>
        </w:rPr>
        <w:t xml:space="preserve">; yalnızca düşük, </w:t>
      </w:r>
      <w:proofErr w:type="spellStart"/>
      <w:r w:rsidRPr="00CF4AE2">
        <w:rPr>
          <w:rStyle w:val="spelle"/>
          <w:color w:val="17365D" w:themeColor="text2" w:themeShade="BF"/>
          <w:sz w:val="20"/>
          <w:szCs w:val="20"/>
        </w:rPr>
        <w:t>küretaj</w:t>
      </w:r>
      <w:proofErr w:type="spellEnd"/>
      <w:r w:rsidRPr="00CF4AE2">
        <w:rPr>
          <w:color w:val="17365D" w:themeColor="text2" w:themeShade="BF"/>
          <w:sz w:val="20"/>
          <w:szCs w:val="20"/>
        </w:rPr>
        <w:t xml:space="preserve"> ve gebeliğin 28. haftasında kullanılabilecektir.”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f) “</w:t>
      </w:r>
      <w:proofErr w:type="spellStart"/>
      <w:r w:rsidRPr="00CF4AE2">
        <w:rPr>
          <w:rStyle w:val="spelle"/>
          <w:color w:val="17365D" w:themeColor="text2" w:themeShade="BF"/>
          <w:sz w:val="20"/>
          <w:szCs w:val="20"/>
        </w:rPr>
        <w:t>Pulmoner</w:t>
      </w:r>
      <w:proofErr w:type="spellEnd"/>
      <w:r w:rsidRPr="00CF4AE2">
        <w:rPr>
          <w:color w:val="17365D" w:themeColor="text2" w:themeShade="BF"/>
          <w:sz w:val="20"/>
          <w:szCs w:val="20"/>
        </w:rPr>
        <w:t xml:space="preserve"> hipertansiyonda </w:t>
      </w:r>
      <w:proofErr w:type="spellStart"/>
      <w:r w:rsidRPr="00CF4AE2">
        <w:rPr>
          <w:rStyle w:val="spelle"/>
          <w:color w:val="17365D" w:themeColor="text2" w:themeShade="BF"/>
          <w:sz w:val="20"/>
          <w:szCs w:val="20"/>
        </w:rPr>
        <w:t>ıloprost</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trometamol</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inhaler</w:t>
      </w:r>
      <w:proofErr w:type="spellEnd"/>
      <w:r w:rsidRPr="00CF4AE2">
        <w:rPr>
          <w:color w:val="17365D" w:themeColor="text2" w:themeShade="BF"/>
          <w:sz w:val="20"/>
          <w:szCs w:val="20"/>
        </w:rPr>
        <w:t xml:space="preserve"> formu) ve </w:t>
      </w:r>
      <w:proofErr w:type="spellStart"/>
      <w:r w:rsidRPr="00CF4AE2">
        <w:rPr>
          <w:rStyle w:val="spelle"/>
          <w:color w:val="17365D" w:themeColor="text2" w:themeShade="BF"/>
          <w:sz w:val="20"/>
          <w:szCs w:val="20"/>
        </w:rPr>
        <w:t>bosentanın</w:t>
      </w:r>
      <w:proofErr w:type="spellEnd"/>
      <w:r w:rsidRPr="00CF4AE2">
        <w:rPr>
          <w:color w:val="17365D" w:themeColor="text2" w:themeShade="BF"/>
          <w:sz w:val="20"/>
          <w:szCs w:val="20"/>
        </w:rPr>
        <w:t xml:space="preserve"> kullanım ilkeleri” başlıklı (30) numaralı bendinin başlığı, “</w:t>
      </w:r>
      <w:proofErr w:type="spellStart"/>
      <w:r w:rsidRPr="00CF4AE2">
        <w:rPr>
          <w:rStyle w:val="spelle"/>
          <w:color w:val="17365D" w:themeColor="text2" w:themeShade="BF"/>
          <w:sz w:val="20"/>
          <w:szCs w:val="20"/>
        </w:rPr>
        <w:t>Pulmoner</w:t>
      </w:r>
      <w:proofErr w:type="spellEnd"/>
      <w:r w:rsidRPr="00CF4AE2">
        <w:rPr>
          <w:color w:val="17365D" w:themeColor="text2" w:themeShade="BF"/>
          <w:sz w:val="20"/>
          <w:szCs w:val="20"/>
        </w:rPr>
        <w:t xml:space="preserve"> hipertansiyonda </w:t>
      </w:r>
      <w:proofErr w:type="spellStart"/>
      <w:r w:rsidRPr="00CF4AE2">
        <w:rPr>
          <w:rStyle w:val="spelle"/>
          <w:color w:val="17365D" w:themeColor="text2" w:themeShade="BF"/>
          <w:sz w:val="20"/>
          <w:szCs w:val="20"/>
        </w:rPr>
        <w:t>ıloprost</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trometamol</w:t>
      </w:r>
      <w:proofErr w:type="spell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inhaler</w:t>
      </w:r>
      <w:proofErr w:type="spellEnd"/>
      <w:r w:rsidRPr="00CF4AE2">
        <w:rPr>
          <w:color w:val="17365D" w:themeColor="text2" w:themeShade="BF"/>
          <w:sz w:val="20"/>
          <w:szCs w:val="20"/>
        </w:rPr>
        <w:t xml:space="preserve"> formu), </w:t>
      </w:r>
      <w:proofErr w:type="spellStart"/>
      <w:r w:rsidRPr="00CF4AE2">
        <w:rPr>
          <w:rStyle w:val="spelle"/>
          <w:color w:val="17365D" w:themeColor="text2" w:themeShade="BF"/>
          <w:sz w:val="20"/>
          <w:szCs w:val="20"/>
        </w:rPr>
        <w:t>bosentan</w:t>
      </w:r>
      <w:proofErr w:type="spellEnd"/>
      <w:r w:rsidRPr="00CF4AE2">
        <w:rPr>
          <w:color w:val="17365D" w:themeColor="text2" w:themeShade="BF"/>
          <w:sz w:val="20"/>
          <w:szCs w:val="20"/>
        </w:rPr>
        <w:t xml:space="preserve"> ve </w:t>
      </w:r>
      <w:proofErr w:type="spellStart"/>
      <w:r w:rsidRPr="00CF4AE2">
        <w:rPr>
          <w:rStyle w:val="spelle"/>
          <w:color w:val="17365D" w:themeColor="text2" w:themeShade="BF"/>
          <w:sz w:val="20"/>
          <w:szCs w:val="20"/>
        </w:rPr>
        <w:t>sildenafil</w:t>
      </w:r>
      <w:proofErr w:type="spellEnd"/>
      <w:r w:rsidRPr="00CF4AE2">
        <w:rPr>
          <w:color w:val="17365D" w:themeColor="text2" w:themeShade="BF"/>
          <w:sz w:val="20"/>
          <w:szCs w:val="20"/>
        </w:rPr>
        <w:t xml:space="preserve"> kullanım ilkeleri” olarak değiştirilmiştir.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2- Tebliğin 14 üncü maddesinin “Uygulanacak indirim oranları” başlıklı (1) numaralı fıkrasının ikinci, üçüncü, dördüncü, beşinci, yedinci ve dokuzuncu paragrafları ile altıncı paragrafının (a) ve (c) bentleri yürürlükten kaldırılmış, (b) bendinde yer alan “Yukarıda (a) bendinde belirtilen imalatçı/ithalatçı indirimi yapıldıktan sonra kalan tutarlar üzerinden uygulanacak eczane indirimi” ibaresi, “yukarıda belirtilen indirimler yapıldıktan sonra kalan tutarlar üzerinden uygulanacak eczane indirimi” şeklinde değiştirilmiş ve söz konusu fıkraya birinci paragraftan sonra gelmek üzere aşağıdaki paragraflar </w:t>
      </w:r>
      <w:proofErr w:type="gramStart"/>
      <w:r w:rsidRPr="00CF4AE2">
        <w:rPr>
          <w:rStyle w:val="grame"/>
          <w:color w:val="17365D" w:themeColor="text2" w:themeShade="BF"/>
          <w:sz w:val="20"/>
          <w:szCs w:val="20"/>
        </w:rPr>
        <w:t>ilave  edilmiştir</w:t>
      </w:r>
      <w:proofErr w:type="gramEnd"/>
      <w:r w:rsidRPr="00CF4AE2">
        <w:rPr>
          <w:color w:val="17365D" w:themeColor="text2" w:themeShade="BF"/>
          <w:sz w:val="20"/>
          <w:szCs w:val="20"/>
        </w:rPr>
        <w:t>.</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“Ancak, depocuya satış fiyatı 3,56 TL’nin altında olan ilaçlar için perakende satış fiyatı (KDV dâhil) üzerinden %4 oranında indirim uygulanır, ayrıca indirimli bedel üzerinden eczacı indirimi yapılır.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Yirmi yıllık olarak belirlenmiş ilaçlardan depocuya satış fiyatı 6,79 TL’nin üzerinde olan ilaçlara referans fiyat alana kadar %23 (</w:t>
      </w:r>
      <w:proofErr w:type="gramStart"/>
      <w:r w:rsidRPr="00CF4AE2">
        <w:rPr>
          <w:rStyle w:val="grame"/>
          <w:color w:val="17365D" w:themeColor="text2" w:themeShade="BF"/>
          <w:sz w:val="20"/>
          <w:szCs w:val="20"/>
        </w:rPr>
        <w:t>baz</w:t>
      </w:r>
      <w:proofErr w:type="gram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iskonto</w:t>
      </w:r>
      <w:proofErr w:type="spellEnd"/>
      <w:r w:rsidRPr="00CF4AE2">
        <w:rPr>
          <w:color w:val="17365D" w:themeColor="text2" w:themeShade="BF"/>
          <w:sz w:val="20"/>
          <w:szCs w:val="20"/>
        </w:rPr>
        <w:t xml:space="preserve"> %11+%12 birlikte) </w:t>
      </w:r>
      <w:proofErr w:type="spellStart"/>
      <w:r w:rsidRPr="00CF4AE2">
        <w:rPr>
          <w:rStyle w:val="spelle"/>
          <w:color w:val="17365D" w:themeColor="text2" w:themeShade="BF"/>
          <w:sz w:val="20"/>
          <w:szCs w:val="20"/>
        </w:rPr>
        <w:t>iskonto</w:t>
      </w:r>
      <w:proofErr w:type="spellEnd"/>
      <w:r w:rsidRPr="00CF4AE2">
        <w:rPr>
          <w:color w:val="17365D" w:themeColor="text2" w:themeShade="BF"/>
          <w:sz w:val="20"/>
          <w:szCs w:val="20"/>
        </w:rPr>
        <w:t xml:space="preserve"> uygulanacaktır.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lastRenderedPageBreak/>
        <w:tab/>
        <w:t xml:space="preserve">Jeneriği olmayan orijinal ilaçlar için </w:t>
      </w:r>
      <w:proofErr w:type="spellStart"/>
      <w:r w:rsidRPr="00CF4AE2">
        <w:rPr>
          <w:rStyle w:val="spelle"/>
          <w:color w:val="17365D" w:themeColor="text2" w:themeShade="BF"/>
          <w:sz w:val="20"/>
          <w:szCs w:val="20"/>
        </w:rPr>
        <w:t>iskonto</w:t>
      </w:r>
      <w:proofErr w:type="spellEnd"/>
      <w:r w:rsidRPr="00CF4AE2">
        <w:rPr>
          <w:color w:val="17365D" w:themeColor="text2" w:themeShade="BF"/>
          <w:sz w:val="20"/>
          <w:szCs w:val="20"/>
        </w:rPr>
        <w:t xml:space="preserve"> %23 (</w:t>
      </w:r>
      <w:proofErr w:type="gramStart"/>
      <w:r w:rsidRPr="00CF4AE2">
        <w:rPr>
          <w:rStyle w:val="grame"/>
          <w:color w:val="17365D" w:themeColor="text2" w:themeShade="BF"/>
          <w:sz w:val="20"/>
          <w:szCs w:val="20"/>
        </w:rPr>
        <w:t>baz</w:t>
      </w:r>
      <w:proofErr w:type="gramEnd"/>
      <w:r w:rsidRPr="00CF4AE2">
        <w:rPr>
          <w:color w:val="17365D" w:themeColor="text2" w:themeShade="BF"/>
          <w:sz w:val="20"/>
          <w:szCs w:val="20"/>
        </w:rPr>
        <w:t xml:space="preserve"> </w:t>
      </w:r>
      <w:proofErr w:type="spellStart"/>
      <w:r w:rsidRPr="00CF4AE2">
        <w:rPr>
          <w:rStyle w:val="spelle"/>
          <w:color w:val="17365D" w:themeColor="text2" w:themeShade="BF"/>
          <w:sz w:val="20"/>
          <w:szCs w:val="20"/>
        </w:rPr>
        <w:t>iskonto</w:t>
      </w:r>
      <w:proofErr w:type="spellEnd"/>
      <w:r w:rsidRPr="00CF4AE2">
        <w:rPr>
          <w:color w:val="17365D" w:themeColor="text2" w:themeShade="BF"/>
          <w:sz w:val="20"/>
          <w:szCs w:val="20"/>
        </w:rPr>
        <w:t xml:space="preserve"> %11+%12 birlikte) olarak uygulanacaktır.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Referansın altında fiyat almış jeneriği olmayan orijinal ilaçlar ile orijinali olmayan </w:t>
      </w:r>
      <w:proofErr w:type="gramStart"/>
      <w:r w:rsidRPr="00CF4AE2">
        <w:rPr>
          <w:rStyle w:val="grame"/>
          <w:color w:val="17365D" w:themeColor="text2" w:themeShade="BF"/>
          <w:sz w:val="20"/>
          <w:szCs w:val="20"/>
        </w:rPr>
        <w:t>jenerik</w:t>
      </w:r>
      <w:proofErr w:type="gramEnd"/>
      <w:r w:rsidRPr="00CF4AE2">
        <w:rPr>
          <w:color w:val="17365D" w:themeColor="text2" w:themeShade="BF"/>
          <w:sz w:val="20"/>
          <w:szCs w:val="20"/>
        </w:rPr>
        <w:t xml:space="preserve"> ilaçlar için yapılacak mahsuplaşma işleminde ilave %12 </w:t>
      </w:r>
      <w:proofErr w:type="spellStart"/>
      <w:r w:rsidRPr="00CF4AE2">
        <w:rPr>
          <w:rStyle w:val="spelle"/>
          <w:color w:val="17365D" w:themeColor="text2" w:themeShade="BF"/>
          <w:sz w:val="20"/>
          <w:szCs w:val="20"/>
        </w:rPr>
        <w:t>iskonto</w:t>
      </w:r>
      <w:proofErr w:type="spellEnd"/>
      <w:r w:rsidRPr="00CF4AE2">
        <w:rPr>
          <w:color w:val="17365D" w:themeColor="text2" w:themeShade="BF"/>
          <w:sz w:val="20"/>
          <w:szCs w:val="20"/>
        </w:rPr>
        <w:t xml:space="preserve"> dikkate alınacaktır. Mevcut </w:t>
      </w:r>
      <w:proofErr w:type="spellStart"/>
      <w:r w:rsidRPr="00CF4AE2">
        <w:rPr>
          <w:rStyle w:val="spelle"/>
          <w:color w:val="17365D" w:themeColor="text2" w:themeShade="BF"/>
          <w:sz w:val="20"/>
          <w:szCs w:val="20"/>
        </w:rPr>
        <w:t>iskontosu</w:t>
      </w:r>
      <w:proofErr w:type="spellEnd"/>
      <w:r w:rsidRPr="00CF4AE2">
        <w:rPr>
          <w:color w:val="17365D" w:themeColor="text2" w:themeShade="BF"/>
          <w:sz w:val="20"/>
          <w:szCs w:val="20"/>
        </w:rPr>
        <w:t xml:space="preserve"> %23’ün üzerinde olan ilaçlar için ilave %12 </w:t>
      </w:r>
      <w:proofErr w:type="spellStart"/>
      <w:r w:rsidRPr="00CF4AE2">
        <w:rPr>
          <w:rStyle w:val="spelle"/>
          <w:color w:val="17365D" w:themeColor="text2" w:themeShade="BF"/>
          <w:sz w:val="20"/>
          <w:szCs w:val="20"/>
        </w:rPr>
        <w:t>iskonto</w:t>
      </w:r>
      <w:proofErr w:type="spellEnd"/>
      <w:r w:rsidRPr="00CF4AE2">
        <w:rPr>
          <w:color w:val="17365D" w:themeColor="text2" w:themeShade="BF"/>
          <w:sz w:val="20"/>
          <w:szCs w:val="20"/>
        </w:rPr>
        <w:t xml:space="preserve"> uygulanmayacaktır.</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Yirmi yıldan eski ilaç statüsü kazanmış ve depocuya satış fiyatı 6,79 TL’nin altında olan ilaçlar, depocuya satış fiyatı 3,56 TL’nin altında olan bütün ilaçlar, reçetesiz ilaçlar, kan ürünleri, tıbbi mamalar, </w:t>
      </w:r>
      <w:proofErr w:type="spellStart"/>
      <w:r w:rsidRPr="00CF4AE2">
        <w:rPr>
          <w:rStyle w:val="spelle"/>
          <w:color w:val="17365D" w:themeColor="text2" w:themeShade="BF"/>
          <w:sz w:val="20"/>
          <w:szCs w:val="20"/>
        </w:rPr>
        <w:t>radyofarmasötik</w:t>
      </w:r>
      <w:proofErr w:type="spellEnd"/>
      <w:r w:rsidRPr="00CF4AE2">
        <w:rPr>
          <w:color w:val="17365D" w:themeColor="text2" w:themeShade="BF"/>
          <w:sz w:val="20"/>
          <w:szCs w:val="20"/>
        </w:rPr>
        <w:t xml:space="preserve"> ürünler ve </w:t>
      </w:r>
      <w:proofErr w:type="spellStart"/>
      <w:r w:rsidRPr="00CF4AE2">
        <w:rPr>
          <w:rStyle w:val="spelle"/>
          <w:color w:val="17365D" w:themeColor="text2" w:themeShade="BF"/>
          <w:sz w:val="20"/>
          <w:szCs w:val="20"/>
        </w:rPr>
        <w:t>enteral</w:t>
      </w:r>
      <w:proofErr w:type="spellEnd"/>
      <w:r w:rsidRPr="00CF4AE2">
        <w:rPr>
          <w:color w:val="17365D" w:themeColor="text2" w:themeShade="BF"/>
          <w:sz w:val="20"/>
          <w:szCs w:val="20"/>
        </w:rPr>
        <w:t xml:space="preserve"> beslenme ürünleri için yukarıdaki üçüncü, dördüncü ve beşinci paragraflar uygulanmaz.”</w:t>
      </w:r>
    </w:p>
    <w:p w:rsidR="00CF4AE2" w:rsidRPr="00CF4AE2" w:rsidRDefault="00CF4AE2" w:rsidP="00CF4AE2">
      <w:pPr>
        <w:pStyle w:val="3-normalyaz"/>
        <w:spacing w:before="0" w:beforeAutospacing="0" w:after="0" w:afterAutospacing="0" w:line="276" w:lineRule="auto"/>
        <w:rPr>
          <w:color w:val="17365D" w:themeColor="text2" w:themeShade="BF"/>
          <w:sz w:val="20"/>
          <w:szCs w:val="20"/>
        </w:rPr>
      </w:pPr>
      <w:r w:rsidRPr="00CF4AE2">
        <w:rPr>
          <w:color w:val="17365D" w:themeColor="text2" w:themeShade="BF"/>
          <w:sz w:val="20"/>
          <w:szCs w:val="20"/>
        </w:rPr>
        <w:tab/>
        <w:t xml:space="preserve">3- Bu Tebliğ, 2 </w:t>
      </w:r>
      <w:proofErr w:type="spellStart"/>
      <w:r w:rsidRPr="00CF4AE2">
        <w:rPr>
          <w:rStyle w:val="spelle"/>
          <w:color w:val="17365D" w:themeColor="text2" w:themeShade="BF"/>
          <w:sz w:val="20"/>
          <w:szCs w:val="20"/>
        </w:rPr>
        <w:t>nci</w:t>
      </w:r>
      <w:proofErr w:type="spellEnd"/>
      <w:r w:rsidRPr="00CF4AE2">
        <w:rPr>
          <w:color w:val="17365D" w:themeColor="text2" w:themeShade="BF"/>
          <w:sz w:val="20"/>
          <w:szCs w:val="20"/>
        </w:rPr>
        <w:t xml:space="preserve"> maddesi </w:t>
      </w:r>
      <w:proofErr w:type="gramStart"/>
      <w:r w:rsidRPr="00CF4AE2">
        <w:rPr>
          <w:rStyle w:val="grame"/>
          <w:color w:val="17365D" w:themeColor="text2" w:themeShade="BF"/>
          <w:sz w:val="20"/>
          <w:szCs w:val="20"/>
        </w:rPr>
        <w:t>4/12/2009</w:t>
      </w:r>
      <w:proofErr w:type="gramEnd"/>
      <w:r w:rsidRPr="00CF4AE2">
        <w:rPr>
          <w:color w:val="17365D" w:themeColor="text2" w:themeShade="BF"/>
          <w:sz w:val="20"/>
          <w:szCs w:val="20"/>
        </w:rPr>
        <w:t xml:space="preserve"> tarihinden, diğer maddeleri 17/10/2009 tarihinden geçerli olmak üzere yayımı tarihinde yürürlüğe girer.</w:t>
      </w:r>
    </w:p>
    <w:p w:rsidR="00CF4AE2" w:rsidRPr="00CF4AE2" w:rsidRDefault="00CF4AE2" w:rsidP="00BB0295">
      <w:pPr>
        <w:pStyle w:val="NormalWeb"/>
        <w:spacing w:before="0" w:beforeAutospacing="0" w:after="0" w:afterAutospacing="0" w:line="276" w:lineRule="auto"/>
        <w:rPr>
          <w:color w:val="17365D" w:themeColor="text2" w:themeShade="BF"/>
          <w:sz w:val="20"/>
          <w:szCs w:val="20"/>
        </w:rPr>
      </w:pPr>
    </w:p>
    <w:sectPr w:rsidR="00CF4AE2" w:rsidRPr="00CF4AE2"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3278EC"/>
    <w:rsid w:val="003665C2"/>
    <w:rsid w:val="003768A6"/>
    <w:rsid w:val="00545C76"/>
    <w:rsid w:val="00624630"/>
    <w:rsid w:val="00655382"/>
    <w:rsid w:val="00670902"/>
    <w:rsid w:val="00743E4B"/>
    <w:rsid w:val="0088492C"/>
    <w:rsid w:val="009039EA"/>
    <w:rsid w:val="009176E1"/>
    <w:rsid w:val="00967CF0"/>
    <w:rsid w:val="009D6F77"/>
    <w:rsid w:val="00A2629B"/>
    <w:rsid w:val="00A60E4F"/>
    <w:rsid w:val="00B06004"/>
    <w:rsid w:val="00BB0295"/>
    <w:rsid w:val="00BC59C8"/>
    <w:rsid w:val="00BD21CF"/>
    <w:rsid w:val="00BD4C2E"/>
    <w:rsid w:val="00BE4E9B"/>
    <w:rsid w:val="00C226A1"/>
    <w:rsid w:val="00CF4AE2"/>
    <w:rsid w:val="00D82C75"/>
    <w:rsid w:val="00DD4B90"/>
    <w:rsid w:val="00DE73A1"/>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1500</Words>
  <Characters>8551</Characters>
  <Application>Microsoft Office Word</Application>
  <DocSecurity>0</DocSecurity>
  <Lines>71</Lines>
  <Paragraphs>20</Paragraphs>
  <ScaleCrop>false</ScaleCrop>
  <Company>TURMOB</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cp:revision>
  <dcterms:created xsi:type="dcterms:W3CDTF">2009-12-01T07:12:00Z</dcterms:created>
  <dcterms:modified xsi:type="dcterms:W3CDTF">2009-12-10T06:48:00Z</dcterms:modified>
</cp:coreProperties>
</file>