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D9224C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9224C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9224C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D9224C">
        <w:rPr>
          <w:b/>
          <w:color w:val="17365D" w:themeColor="text2" w:themeShade="BF"/>
          <w:sz w:val="20"/>
          <w:szCs w:val="20"/>
          <w:u w:val="single"/>
        </w:rPr>
        <w:t>2</w:t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>2</w:t>
      </w:r>
      <w:r w:rsidR="00C33D2B" w:rsidRPr="00D9224C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D9224C">
        <w:rPr>
          <w:b/>
          <w:color w:val="17365D" w:themeColor="text2" w:themeShade="BF"/>
          <w:sz w:val="20"/>
          <w:szCs w:val="20"/>
          <w:u w:val="single"/>
        </w:rPr>
        <w:t>A</w:t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</w:r>
      <w:r w:rsidR="00306C82" w:rsidRPr="00D9224C">
        <w:rPr>
          <w:b/>
          <w:color w:val="17365D" w:themeColor="text2" w:themeShade="BF"/>
          <w:sz w:val="20"/>
          <w:szCs w:val="20"/>
          <w:u w:val="single"/>
        </w:rPr>
        <w:tab/>
        <w:t>Sayı: 27440</w:t>
      </w:r>
    </w:p>
    <w:p w:rsidR="00880580" w:rsidRPr="00D9224C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306C82" w:rsidRPr="00D9224C" w:rsidRDefault="00306C82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D9224C" w:rsidRPr="00D9224C" w:rsidRDefault="00D9224C" w:rsidP="00D9224C">
      <w:pPr>
        <w:pStyle w:val="1-Baslk0"/>
        <w:spacing w:line="240" w:lineRule="exact"/>
        <w:jc w:val="both"/>
        <w:rPr>
          <w:color w:val="17365D" w:themeColor="text2" w:themeShade="BF"/>
          <w:sz w:val="20"/>
          <w:u w:val="single"/>
        </w:rPr>
      </w:pPr>
      <w:r w:rsidRPr="00D9224C">
        <w:rPr>
          <w:color w:val="17365D" w:themeColor="text2" w:themeShade="BF"/>
          <w:sz w:val="20"/>
          <w:u w:val="single"/>
        </w:rPr>
        <w:t>Dış Ticaret Müsteşarlığından:</w:t>
      </w:r>
    </w:p>
    <w:p w:rsidR="00D9224C" w:rsidRPr="00D9224C" w:rsidRDefault="00D9224C" w:rsidP="00D9224C">
      <w:pPr>
        <w:pStyle w:val="2-OrtaBaslk0"/>
        <w:spacing w:before="56" w:line="240" w:lineRule="exact"/>
        <w:rPr>
          <w:color w:val="17365D" w:themeColor="text2" w:themeShade="BF"/>
          <w:sz w:val="20"/>
        </w:rPr>
      </w:pPr>
      <w:r w:rsidRPr="00D9224C">
        <w:rPr>
          <w:color w:val="17365D" w:themeColor="text2" w:themeShade="BF"/>
          <w:sz w:val="20"/>
        </w:rPr>
        <w:t>İTHALATTA HAKSIZ REKABETİN ÖNLENMESİNE İLİŞKİN TEBLİĞ</w:t>
      </w:r>
    </w:p>
    <w:p w:rsidR="00D9224C" w:rsidRPr="00D9224C" w:rsidRDefault="00D9224C" w:rsidP="00D9224C">
      <w:pPr>
        <w:pStyle w:val="2-OrtaBaslk0"/>
        <w:spacing w:line="240" w:lineRule="exact"/>
        <w:rPr>
          <w:color w:val="17365D" w:themeColor="text2" w:themeShade="BF"/>
          <w:sz w:val="20"/>
        </w:rPr>
      </w:pPr>
      <w:r w:rsidRPr="00D9224C">
        <w:rPr>
          <w:color w:val="17365D" w:themeColor="text2" w:themeShade="BF"/>
          <w:sz w:val="20"/>
        </w:rPr>
        <w:t>(2009/40)</w:t>
      </w:r>
    </w:p>
    <w:p w:rsidR="00D9224C" w:rsidRPr="00D9224C" w:rsidRDefault="00D9224C" w:rsidP="00D9224C">
      <w:pPr>
        <w:pStyle w:val="1-Baslk0"/>
        <w:spacing w:line="240" w:lineRule="exact"/>
        <w:ind w:firstLine="567"/>
        <w:jc w:val="both"/>
        <w:rPr>
          <w:b/>
          <w:color w:val="17365D" w:themeColor="text2" w:themeShade="BF"/>
          <w:sz w:val="20"/>
        </w:rPr>
      </w:pPr>
      <w:r w:rsidRPr="00D9224C">
        <w:rPr>
          <w:b/>
          <w:color w:val="17365D" w:themeColor="text2" w:themeShade="BF"/>
          <w:sz w:val="20"/>
        </w:rPr>
        <w:t>Başvuru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color w:val="17365D" w:themeColor="text2" w:themeShade="BF"/>
          <w:sz w:val="20"/>
        </w:rPr>
      </w:pPr>
      <w:r w:rsidRPr="00D9224C">
        <w:rPr>
          <w:b/>
          <w:color w:val="17365D" w:themeColor="text2" w:themeShade="BF"/>
          <w:sz w:val="20"/>
        </w:rPr>
        <w:tab/>
        <w:t>MADDE 1 –</w:t>
      </w:r>
      <w:r w:rsidRPr="00D9224C">
        <w:rPr>
          <w:color w:val="17365D" w:themeColor="text2" w:themeShade="BF"/>
          <w:sz w:val="20"/>
        </w:rPr>
        <w:t xml:space="preserve"> (1) 4412 sayılı Kanunla değişik 3577 sayılı İthalatta Haksız Rekabetin Önlenmesi Hakkında Kanun, 20/10/1999 tarihli ve 99/13482 sayılı İthalatta Haksız Rekabetin Önlenmesi Hakkında Karar ve 30/10/1999 tarih ve 23861 sayılı Resmî Gazete'de yayımlanan İthalatta Haksız Rekabetin Önlenmesi Hakkında Yönetmelik (Yönetmelik) hükümleri çerçevesinde </w:t>
      </w:r>
      <w:proofErr w:type="spellStart"/>
      <w:r w:rsidRPr="00D9224C">
        <w:rPr>
          <w:color w:val="17365D" w:themeColor="text2" w:themeShade="BF"/>
          <w:sz w:val="20"/>
        </w:rPr>
        <w:t>Woongjin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Chemical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Co</w:t>
      </w:r>
      <w:proofErr w:type="spellEnd"/>
      <w:proofErr w:type="gramStart"/>
      <w:r w:rsidRPr="00D9224C">
        <w:rPr>
          <w:color w:val="17365D" w:themeColor="text2" w:themeShade="BF"/>
          <w:sz w:val="20"/>
        </w:rPr>
        <w:t>.,</w:t>
      </w:r>
      <w:proofErr w:type="gramEnd"/>
      <w:r w:rsidRPr="00D9224C">
        <w:rPr>
          <w:color w:val="17365D" w:themeColor="text2" w:themeShade="BF"/>
          <w:sz w:val="20"/>
        </w:rPr>
        <w:t xml:space="preserve"> Ltd. firması ticaret unvanı değişikliğinin incelenmesi için Dış Ticaret Müsteşarlığı İthalat Genel Müdürlüğü'ne başvuruda bulunmuştur.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b/>
          <w:color w:val="17365D" w:themeColor="text2" w:themeShade="BF"/>
          <w:sz w:val="20"/>
        </w:rPr>
      </w:pPr>
      <w:r w:rsidRPr="00D9224C">
        <w:rPr>
          <w:color w:val="17365D" w:themeColor="text2" w:themeShade="BF"/>
          <w:sz w:val="20"/>
        </w:rPr>
        <w:tab/>
      </w:r>
      <w:r w:rsidRPr="00D9224C">
        <w:rPr>
          <w:b/>
          <w:color w:val="17365D" w:themeColor="text2" w:themeShade="BF"/>
          <w:sz w:val="20"/>
        </w:rPr>
        <w:t>Karar ve İşlemler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color w:val="17365D" w:themeColor="text2" w:themeShade="BF"/>
          <w:sz w:val="20"/>
        </w:rPr>
      </w:pPr>
      <w:r w:rsidRPr="00D9224C">
        <w:rPr>
          <w:b/>
          <w:color w:val="17365D" w:themeColor="text2" w:themeShade="BF"/>
          <w:sz w:val="20"/>
        </w:rPr>
        <w:tab/>
        <w:t>MADDE 2 –</w:t>
      </w:r>
      <w:r w:rsidRPr="00D9224C">
        <w:rPr>
          <w:color w:val="17365D" w:themeColor="text2" w:themeShade="BF"/>
          <w:sz w:val="20"/>
        </w:rPr>
        <w:t xml:space="preserve"> (1) Firmadan alınan bilgiler ve yapılan değerlendirmeler sonucunda </w:t>
      </w:r>
      <w:proofErr w:type="spellStart"/>
      <w:r w:rsidRPr="00D9224C">
        <w:rPr>
          <w:color w:val="17365D" w:themeColor="text2" w:themeShade="BF"/>
          <w:sz w:val="20"/>
        </w:rPr>
        <w:t>Saehan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Industries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Inc</w:t>
      </w:r>
      <w:proofErr w:type="spellEnd"/>
      <w:r w:rsidRPr="00D9224C">
        <w:rPr>
          <w:color w:val="17365D" w:themeColor="text2" w:themeShade="BF"/>
          <w:sz w:val="20"/>
        </w:rPr>
        <w:t xml:space="preserve">. firmasının ticaret unvanının </w:t>
      </w:r>
      <w:proofErr w:type="spellStart"/>
      <w:r w:rsidRPr="00D9224C">
        <w:rPr>
          <w:color w:val="17365D" w:themeColor="text2" w:themeShade="BF"/>
          <w:sz w:val="20"/>
        </w:rPr>
        <w:t>Woongjin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Chemical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Co</w:t>
      </w:r>
      <w:proofErr w:type="spellEnd"/>
      <w:proofErr w:type="gramStart"/>
      <w:r w:rsidRPr="00D9224C">
        <w:rPr>
          <w:color w:val="17365D" w:themeColor="text2" w:themeShade="BF"/>
          <w:sz w:val="20"/>
        </w:rPr>
        <w:t>.,</w:t>
      </w:r>
      <w:proofErr w:type="gramEnd"/>
      <w:r w:rsidRPr="00D9224C">
        <w:rPr>
          <w:color w:val="17365D" w:themeColor="text2" w:themeShade="BF"/>
          <w:sz w:val="20"/>
        </w:rPr>
        <w:t xml:space="preserve"> Ltd. olarak değiştirildiği anlaşılmış olup, firmanın yönetim ile üretim yapısı ve müşteri-tedarikçi ilişkilerinin bu değişiklikten etkilenmediği tespit edildiğinden 18/5/2006 tarih ve 26172 sayılı Resmî Gazete'de yayımlanan İthalatta Haksız Rekabetin Önlenmesine İlişkin 2006/12 Sayılı Tebliğ'in "Karar" başlıklı 28 inci maddesinde bulunan "</w:t>
      </w:r>
      <w:proofErr w:type="spellStart"/>
      <w:r w:rsidRPr="00D9224C">
        <w:rPr>
          <w:color w:val="17365D" w:themeColor="text2" w:themeShade="BF"/>
          <w:sz w:val="20"/>
        </w:rPr>
        <w:t>Saehan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Industries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Inc</w:t>
      </w:r>
      <w:proofErr w:type="spellEnd"/>
      <w:r w:rsidRPr="00D9224C">
        <w:rPr>
          <w:color w:val="17365D" w:themeColor="text2" w:themeShade="BF"/>
          <w:sz w:val="20"/>
        </w:rPr>
        <w:t>." ibaresi "</w:t>
      </w:r>
      <w:proofErr w:type="spellStart"/>
      <w:r w:rsidRPr="00D9224C">
        <w:rPr>
          <w:color w:val="17365D" w:themeColor="text2" w:themeShade="BF"/>
          <w:sz w:val="20"/>
        </w:rPr>
        <w:t>Woongjin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Chemical</w:t>
      </w:r>
      <w:proofErr w:type="spellEnd"/>
      <w:r w:rsidRPr="00D9224C">
        <w:rPr>
          <w:color w:val="17365D" w:themeColor="text2" w:themeShade="BF"/>
          <w:sz w:val="20"/>
        </w:rPr>
        <w:t xml:space="preserve"> </w:t>
      </w:r>
      <w:proofErr w:type="spellStart"/>
      <w:r w:rsidRPr="00D9224C">
        <w:rPr>
          <w:color w:val="17365D" w:themeColor="text2" w:themeShade="BF"/>
          <w:sz w:val="20"/>
        </w:rPr>
        <w:t>Co</w:t>
      </w:r>
      <w:proofErr w:type="spellEnd"/>
      <w:r w:rsidRPr="00D9224C">
        <w:rPr>
          <w:color w:val="17365D" w:themeColor="text2" w:themeShade="BF"/>
          <w:sz w:val="20"/>
        </w:rPr>
        <w:t>., Ltd." olarak değiştirilmiştir.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b/>
          <w:color w:val="17365D" w:themeColor="text2" w:themeShade="BF"/>
          <w:sz w:val="20"/>
        </w:rPr>
      </w:pPr>
      <w:r w:rsidRPr="00D9224C">
        <w:rPr>
          <w:color w:val="17365D" w:themeColor="text2" w:themeShade="BF"/>
          <w:sz w:val="20"/>
        </w:rPr>
        <w:tab/>
      </w:r>
      <w:r w:rsidRPr="00D9224C">
        <w:rPr>
          <w:b/>
          <w:color w:val="17365D" w:themeColor="text2" w:themeShade="BF"/>
          <w:sz w:val="20"/>
        </w:rPr>
        <w:t>Yürürlük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color w:val="17365D" w:themeColor="text2" w:themeShade="BF"/>
          <w:sz w:val="20"/>
        </w:rPr>
      </w:pPr>
      <w:r w:rsidRPr="00D9224C">
        <w:rPr>
          <w:b/>
          <w:color w:val="17365D" w:themeColor="text2" w:themeShade="BF"/>
          <w:sz w:val="20"/>
        </w:rPr>
        <w:tab/>
        <w:t xml:space="preserve">MADDE 3 – </w:t>
      </w:r>
      <w:r w:rsidRPr="00D9224C">
        <w:rPr>
          <w:color w:val="17365D" w:themeColor="text2" w:themeShade="BF"/>
          <w:sz w:val="20"/>
        </w:rPr>
        <w:t>(1) Bu Tebliğ yayımı tarihinde yürürlüğe girer.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b/>
          <w:color w:val="17365D" w:themeColor="text2" w:themeShade="BF"/>
          <w:sz w:val="20"/>
        </w:rPr>
      </w:pPr>
      <w:r w:rsidRPr="00D9224C">
        <w:rPr>
          <w:color w:val="17365D" w:themeColor="text2" w:themeShade="BF"/>
          <w:sz w:val="20"/>
        </w:rPr>
        <w:tab/>
      </w:r>
      <w:r w:rsidRPr="00D9224C">
        <w:rPr>
          <w:b/>
          <w:color w:val="17365D" w:themeColor="text2" w:themeShade="BF"/>
          <w:sz w:val="20"/>
        </w:rPr>
        <w:t>Yürütme</w:t>
      </w:r>
    </w:p>
    <w:p w:rsidR="00D9224C" w:rsidRPr="00D9224C" w:rsidRDefault="00D9224C" w:rsidP="00D9224C">
      <w:pPr>
        <w:pStyle w:val="1-Baslk0"/>
        <w:spacing w:line="240" w:lineRule="exact"/>
        <w:jc w:val="both"/>
        <w:rPr>
          <w:color w:val="17365D" w:themeColor="text2" w:themeShade="BF"/>
          <w:sz w:val="20"/>
          <w:u w:val="single"/>
        </w:rPr>
      </w:pPr>
      <w:r w:rsidRPr="00D9224C">
        <w:rPr>
          <w:b/>
          <w:color w:val="17365D" w:themeColor="text2" w:themeShade="BF"/>
          <w:sz w:val="20"/>
        </w:rPr>
        <w:tab/>
        <w:t>MADDE 4 –</w:t>
      </w:r>
      <w:r w:rsidRPr="00D9224C">
        <w:rPr>
          <w:color w:val="17365D" w:themeColor="text2" w:themeShade="BF"/>
          <w:sz w:val="20"/>
        </w:rPr>
        <w:t xml:space="preserve"> (1) Bu Tebliğ hükümlerini Dış Ticaret Müsteşarlığı'nın bağlı olduğu Bakan yürütür.</w:t>
      </w:r>
    </w:p>
    <w:p w:rsidR="00D9224C" w:rsidRPr="00D9224C" w:rsidRDefault="00D9224C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D9224C" w:rsidRPr="00D9224C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62168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D6F77"/>
    <w:rsid w:val="009E199A"/>
    <w:rsid w:val="00A12D73"/>
    <w:rsid w:val="00A2629B"/>
    <w:rsid w:val="00A41B6E"/>
    <w:rsid w:val="00A5355F"/>
    <w:rsid w:val="00A60E4F"/>
    <w:rsid w:val="00A75229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9224C"/>
    <w:rsid w:val="00DD4B90"/>
    <w:rsid w:val="00DE73A1"/>
    <w:rsid w:val="00E12A36"/>
    <w:rsid w:val="00E2338B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1-Baslk0">
    <w:name w:val="1-Baslık"/>
    <w:rsid w:val="00D9224C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-OrtaBaslk0">
    <w:name w:val="2-Orta Baslık"/>
    <w:rsid w:val="00D922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1215</Characters>
  <Application>Microsoft Office Word</Application>
  <DocSecurity>0</DocSecurity>
  <Lines>10</Lines>
  <Paragraphs>2</Paragraphs>
  <ScaleCrop>false</ScaleCrop>
  <Company>TURMOB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97</cp:revision>
  <dcterms:created xsi:type="dcterms:W3CDTF">2009-12-01T07:12:00Z</dcterms:created>
  <dcterms:modified xsi:type="dcterms:W3CDTF">2009-12-22T07:02:00Z</dcterms:modified>
</cp:coreProperties>
</file>