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B7DC4" w:rsidRDefault="00627628">
      <w:pPr>
        <w:rPr>
          <w:rFonts w:ascii="Times New Roman" w:hAnsi="Times New Roman" w:cs="Times New Roman"/>
          <w:color w:val="0F243E" w:themeColor="text2" w:themeShade="80"/>
          <w:sz w:val="20"/>
          <w:szCs w:val="20"/>
        </w:rPr>
      </w:pPr>
    </w:p>
    <w:p w:rsidR="00D51056" w:rsidRPr="00AB7DC4" w:rsidRDefault="00D51056">
      <w:pPr>
        <w:rPr>
          <w:rFonts w:ascii="Times New Roman" w:hAnsi="Times New Roman" w:cs="Times New Roman"/>
          <w:color w:val="0F243E" w:themeColor="text2" w:themeShade="80"/>
          <w:sz w:val="20"/>
          <w:szCs w:val="20"/>
        </w:rPr>
      </w:pPr>
    </w:p>
    <w:p w:rsidR="00D51056" w:rsidRPr="00AB7DC4" w:rsidRDefault="00D51056" w:rsidP="00D51056">
      <w:pPr>
        <w:spacing w:after="0"/>
        <w:rPr>
          <w:rFonts w:ascii="Times New Roman" w:eastAsia="Times New Roman" w:hAnsi="Times New Roman" w:cs="Times New Roman"/>
          <w:b/>
          <w:color w:val="0F243E" w:themeColor="text2" w:themeShade="80"/>
          <w:sz w:val="20"/>
          <w:szCs w:val="20"/>
          <w:u w:val="single"/>
          <w:lang w:eastAsia="tr-TR"/>
        </w:rPr>
      </w:pPr>
      <w:r w:rsidRPr="00AB7DC4">
        <w:rPr>
          <w:rFonts w:ascii="Times New Roman" w:eastAsia="Times New Roman" w:hAnsi="Times New Roman" w:cs="Times New Roman"/>
          <w:b/>
          <w:color w:val="0F243E" w:themeColor="text2" w:themeShade="80"/>
          <w:sz w:val="20"/>
          <w:szCs w:val="20"/>
          <w:u w:val="single"/>
          <w:lang w:eastAsia="tr-TR"/>
        </w:rPr>
        <w:t>31 Aralık 2009 Tarih,</w:t>
      </w:r>
      <w:r w:rsidRPr="00AB7DC4">
        <w:rPr>
          <w:rFonts w:ascii="Times New Roman" w:eastAsia="Times New Roman" w:hAnsi="Times New Roman" w:cs="Times New Roman"/>
          <w:b/>
          <w:color w:val="0F243E" w:themeColor="text2" w:themeShade="80"/>
          <w:sz w:val="20"/>
          <w:szCs w:val="20"/>
          <w:u w:val="single"/>
          <w:lang w:eastAsia="tr-TR"/>
        </w:rPr>
        <w:tab/>
      </w:r>
      <w:r w:rsidRPr="00AB7DC4">
        <w:rPr>
          <w:rFonts w:ascii="Times New Roman" w:eastAsia="Times New Roman" w:hAnsi="Times New Roman" w:cs="Times New Roman"/>
          <w:b/>
          <w:color w:val="0F243E" w:themeColor="text2" w:themeShade="80"/>
          <w:sz w:val="20"/>
          <w:szCs w:val="20"/>
          <w:u w:val="single"/>
          <w:lang w:eastAsia="tr-TR"/>
        </w:rPr>
        <w:tab/>
      </w:r>
      <w:r w:rsidRPr="00AB7DC4">
        <w:rPr>
          <w:rFonts w:ascii="Times New Roman" w:eastAsia="Times New Roman" w:hAnsi="Times New Roman" w:cs="Times New Roman"/>
          <w:b/>
          <w:color w:val="0F243E" w:themeColor="text2" w:themeShade="80"/>
          <w:sz w:val="20"/>
          <w:szCs w:val="20"/>
          <w:u w:val="single"/>
          <w:lang w:eastAsia="tr-TR"/>
        </w:rPr>
        <w:tab/>
      </w:r>
      <w:r w:rsidRPr="00AB7DC4">
        <w:rPr>
          <w:rFonts w:ascii="Times New Roman" w:eastAsia="Times New Roman" w:hAnsi="Times New Roman" w:cs="Times New Roman"/>
          <w:b/>
          <w:color w:val="0F243E" w:themeColor="text2" w:themeShade="80"/>
          <w:sz w:val="20"/>
          <w:szCs w:val="20"/>
          <w:u w:val="single"/>
          <w:lang w:eastAsia="tr-TR"/>
        </w:rPr>
        <w:tab/>
      </w:r>
      <w:r w:rsidRPr="00AB7DC4">
        <w:rPr>
          <w:rFonts w:ascii="Times New Roman" w:eastAsia="Times New Roman" w:hAnsi="Times New Roman" w:cs="Times New Roman"/>
          <w:b/>
          <w:color w:val="0F243E" w:themeColor="text2" w:themeShade="80"/>
          <w:sz w:val="20"/>
          <w:szCs w:val="20"/>
          <w:u w:val="single"/>
          <w:lang w:eastAsia="tr-TR"/>
        </w:rPr>
        <w:tab/>
      </w:r>
      <w:r w:rsidRPr="00AB7DC4">
        <w:rPr>
          <w:rFonts w:ascii="Times New Roman" w:eastAsia="Times New Roman" w:hAnsi="Times New Roman" w:cs="Times New Roman"/>
          <w:b/>
          <w:color w:val="0F243E" w:themeColor="text2" w:themeShade="80"/>
          <w:sz w:val="20"/>
          <w:szCs w:val="20"/>
          <w:u w:val="single"/>
          <w:lang w:eastAsia="tr-TR"/>
        </w:rPr>
        <w:tab/>
      </w:r>
      <w:r w:rsidRPr="00AB7DC4">
        <w:rPr>
          <w:rFonts w:ascii="Times New Roman" w:eastAsia="Times New Roman" w:hAnsi="Times New Roman" w:cs="Times New Roman"/>
          <w:b/>
          <w:color w:val="0F243E" w:themeColor="text2" w:themeShade="80"/>
          <w:sz w:val="20"/>
          <w:szCs w:val="20"/>
          <w:u w:val="single"/>
          <w:lang w:eastAsia="tr-TR"/>
        </w:rPr>
        <w:tab/>
        <w:t>Sayı : 27449 (</w:t>
      </w:r>
      <w:r w:rsidR="00D6693E" w:rsidRPr="00AB7DC4">
        <w:rPr>
          <w:rFonts w:ascii="Times New Roman" w:eastAsia="Times New Roman" w:hAnsi="Times New Roman" w:cs="Times New Roman"/>
          <w:b/>
          <w:color w:val="0F243E" w:themeColor="text2" w:themeShade="80"/>
          <w:sz w:val="20"/>
          <w:szCs w:val="20"/>
          <w:u w:val="single"/>
          <w:lang w:eastAsia="tr-TR"/>
        </w:rPr>
        <w:t>4</w:t>
      </w:r>
      <w:r w:rsidRPr="00AB7DC4">
        <w:rPr>
          <w:rFonts w:ascii="Times New Roman" w:eastAsia="Times New Roman" w:hAnsi="Times New Roman" w:cs="Times New Roman"/>
          <w:b/>
          <w:color w:val="0F243E" w:themeColor="text2" w:themeShade="80"/>
          <w:sz w:val="20"/>
          <w:szCs w:val="20"/>
          <w:u w:val="single"/>
          <w:lang w:eastAsia="tr-TR"/>
        </w:rPr>
        <w:t>. Mükerrer)</w:t>
      </w:r>
    </w:p>
    <w:p w:rsidR="008A1540" w:rsidRPr="00AB7DC4" w:rsidRDefault="008A1540" w:rsidP="00D51056">
      <w:pPr>
        <w:spacing w:after="0"/>
        <w:rPr>
          <w:rFonts w:ascii="Times New Roman" w:eastAsia="Times New Roman" w:hAnsi="Times New Roman" w:cs="Times New Roman"/>
          <w:b/>
          <w:color w:val="0F243E" w:themeColor="text2" w:themeShade="80"/>
          <w:sz w:val="20"/>
          <w:szCs w:val="20"/>
          <w:lang w:eastAsia="tr-TR"/>
        </w:rPr>
      </w:pPr>
    </w:p>
    <w:p w:rsidR="00AB7DC4" w:rsidRPr="00AB7DC4" w:rsidRDefault="00AB7DC4" w:rsidP="00D51056">
      <w:pPr>
        <w:spacing w:after="0"/>
        <w:rPr>
          <w:rFonts w:ascii="Times New Roman" w:eastAsia="Times New Roman" w:hAnsi="Times New Roman" w:cs="Times New Roman"/>
          <w:b/>
          <w:color w:val="0F243E" w:themeColor="text2" w:themeShade="80"/>
          <w:sz w:val="20"/>
          <w:szCs w:val="20"/>
          <w:lang w:eastAsia="tr-TR"/>
        </w:rPr>
      </w:pPr>
    </w:p>
    <w:p w:rsidR="00AB7DC4" w:rsidRPr="00AB7DC4" w:rsidRDefault="00AB7DC4" w:rsidP="00D51056">
      <w:pPr>
        <w:spacing w:after="0"/>
        <w:rPr>
          <w:rFonts w:ascii="Times New Roman" w:eastAsia="Times New Roman" w:hAnsi="Times New Roman" w:cs="Times New Roman"/>
          <w:b/>
          <w:color w:val="0F243E" w:themeColor="text2" w:themeShade="80"/>
          <w:sz w:val="20"/>
          <w:szCs w:val="20"/>
          <w:lang w:eastAsia="tr-TR"/>
        </w:rPr>
      </w:pPr>
    </w:p>
    <w:p w:rsidR="00AB7DC4" w:rsidRPr="00AB7DC4" w:rsidRDefault="00AB7DC4" w:rsidP="00AB7DC4">
      <w:pPr>
        <w:pStyle w:val="1-baslk"/>
        <w:tabs>
          <w:tab w:val="left" w:pos="708"/>
        </w:tabs>
        <w:spacing w:before="0" w:beforeAutospacing="0" w:after="0" w:afterAutospacing="0" w:line="276" w:lineRule="auto"/>
        <w:ind w:firstLine="567"/>
        <w:rPr>
          <w:b/>
          <w:color w:val="0F243E" w:themeColor="text2" w:themeShade="80"/>
          <w:sz w:val="20"/>
          <w:szCs w:val="20"/>
        </w:rPr>
      </w:pPr>
      <w:r w:rsidRPr="00AB7DC4">
        <w:rPr>
          <w:b/>
          <w:color w:val="0F243E" w:themeColor="text2" w:themeShade="80"/>
          <w:sz w:val="20"/>
          <w:szCs w:val="20"/>
        </w:rPr>
        <w:t>Türkiye Muhasebe Standartları Kurulundan:</w:t>
      </w:r>
    </w:p>
    <w:p w:rsidR="00AB7DC4" w:rsidRPr="00AB7DC4" w:rsidRDefault="00AB7DC4" w:rsidP="00AB7DC4">
      <w:pPr>
        <w:pStyle w:val="1-baslk"/>
        <w:spacing w:before="0" w:beforeAutospacing="0" w:after="0" w:afterAutospacing="0" w:line="276" w:lineRule="auto"/>
        <w:ind w:firstLine="567"/>
        <w:rPr>
          <w:color w:val="0F243E" w:themeColor="text2" w:themeShade="80"/>
          <w:sz w:val="20"/>
          <w:szCs w:val="20"/>
        </w:rPr>
      </w:pPr>
      <w:r w:rsidRPr="00AB7DC4">
        <w:rPr>
          <w:color w:val="0F243E" w:themeColor="text2" w:themeShade="80"/>
          <w:sz w:val="20"/>
          <w:szCs w:val="20"/>
        </w:rPr>
        <w:t> </w:t>
      </w:r>
    </w:p>
    <w:p w:rsidR="00AB7DC4" w:rsidRPr="00AB7DC4" w:rsidRDefault="00AB7DC4" w:rsidP="00AB7DC4">
      <w:pPr>
        <w:pStyle w:val="2-ortabaslk"/>
        <w:spacing w:before="0" w:beforeAutospacing="0" w:after="0" w:afterAutospacing="0" w:line="276" w:lineRule="auto"/>
        <w:jc w:val="center"/>
        <w:rPr>
          <w:color w:val="0F243E" w:themeColor="text2" w:themeShade="80"/>
          <w:sz w:val="20"/>
          <w:szCs w:val="20"/>
        </w:rPr>
      </w:pPr>
      <w:r w:rsidRPr="00AB7DC4">
        <w:rPr>
          <w:b/>
          <w:bCs/>
          <w:color w:val="0F243E" w:themeColor="text2" w:themeShade="80"/>
          <w:sz w:val="20"/>
          <w:szCs w:val="20"/>
        </w:rPr>
        <w:t xml:space="preserve">FAALİYET BÖLÜMLERİNE İLİŞKİN TÜRKİYE FİNANSAL RAPORLAMA </w:t>
      </w:r>
    </w:p>
    <w:p w:rsidR="00AB7DC4" w:rsidRPr="00AB7DC4" w:rsidRDefault="00AB7DC4" w:rsidP="00AB7DC4">
      <w:pPr>
        <w:pStyle w:val="2-ortabaslk"/>
        <w:spacing w:before="0" w:beforeAutospacing="0" w:after="0" w:afterAutospacing="0" w:line="276" w:lineRule="auto"/>
        <w:jc w:val="center"/>
        <w:rPr>
          <w:color w:val="0F243E" w:themeColor="text2" w:themeShade="80"/>
          <w:sz w:val="20"/>
          <w:szCs w:val="20"/>
        </w:rPr>
      </w:pPr>
      <w:r w:rsidRPr="00AB7DC4">
        <w:rPr>
          <w:b/>
          <w:bCs/>
          <w:color w:val="0F243E" w:themeColor="text2" w:themeShade="80"/>
          <w:sz w:val="20"/>
          <w:szCs w:val="20"/>
        </w:rPr>
        <w:t>STANDARDI (TFRS 8) HAKKINDA TEBLİĞDE DEĞİŞİKLİK YAPILMASINA İLİŞKİN TEBLİĞ</w:t>
      </w:r>
    </w:p>
    <w:p w:rsidR="00AB7DC4" w:rsidRPr="00AB7DC4" w:rsidRDefault="00AB7DC4" w:rsidP="00AB7DC4">
      <w:pPr>
        <w:pStyle w:val="2-ortabaslk"/>
        <w:spacing w:before="0" w:beforeAutospacing="0" w:after="0" w:afterAutospacing="0" w:line="276" w:lineRule="auto"/>
        <w:jc w:val="center"/>
        <w:rPr>
          <w:color w:val="0F243E" w:themeColor="text2" w:themeShade="80"/>
          <w:sz w:val="20"/>
          <w:szCs w:val="20"/>
        </w:rPr>
      </w:pPr>
      <w:r w:rsidRPr="00AB7DC4">
        <w:rPr>
          <w:b/>
          <w:bCs/>
          <w:color w:val="0F243E" w:themeColor="text2" w:themeShade="80"/>
          <w:sz w:val="20"/>
          <w:szCs w:val="20"/>
        </w:rPr>
        <w:t>(SIRA NO:170)</w:t>
      </w:r>
    </w:p>
    <w:p w:rsidR="00AB7DC4" w:rsidRPr="00AB7DC4" w:rsidRDefault="00AB7DC4" w:rsidP="00AB7DC4">
      <w:pPr>
        <w:pStyle w:val="2-ortabaslk"/>
        <w:spacing w:before="0" w:beforeAutospacing="0" w:after="0" w:afterAutospacing="0" w:line="276" w:lineRule="auto"/>
        <w:rPr>
          <w:color w:val="0F243E" w:themeColor="text2" w:themeShade="80"/>
          <w:sz w:val="20"/>
          <w:szCs w:val="20"/>
        </w:rPr>
      </w:pPr>
      <w:r w:rsidRPr="00AB7DC4">
        <w:rPr>
          <w:color w:val="0F243E" w:themeColor="text2" w:themeShade="80"/>
          <w:sz w:val="20"/>
          <w:szCs w:val="20"/>
        </w:rPr>
        <w:t> </w:t>
      </w:r>
    </w:p>
    <w:p w:rsidR="00AB7DC4" w:rsidRPr="00AB7DC4" w:rsidRDefault="00AB7DC4" w:rsidP="00AB7DC4">
      <w:pPr>
        <w:pStyle w:val="3-normalyaz"/>
        <w:spacing w:before="0" w:beforeAutospacing="0" w:after="0" w:afterAutospacing="0" w:line="276" w:lineRule="auto"/>
        <w:rPr>
          <w:color w:val="0F243E" w:themeColor="text2" w:themeShade="80"/>
          <w:sz w:val="20"/>
          <w:szCs w:val="20"/>
        </w:rPr>
      </w:pPr>
      <w:r w:rsidRPr="00AB7DC4">
        <w:rPr>
          <w:color w:val="0F243E" w:themeColor="text2" w:themeShade="80"/>
          <w:sz w:val="20"/>
          <w:szCs w:val="20"/>
        </w:rPr>
        <w:tab/>
      </w:r>
      <w:r w:rsidRPr="00AB7DC4">
        <w:rPr>
          <w:b/>
          <w:color w:val="0F243E" w:themeColor="text2" w:themeShade="80"/>
          <w:sz w:val="20"/>
          <w:szCs w:val="20"/>
        </w:rPr>
        <w:t>MADDE 1 –</w:t>
      </w:r>
      <w:r w:rsidRPr="00AB7DC4">
        <w:rPr>
          <w:color w:val="0F243E" w:themeColor="text2" w:themeShade="80"/>
          <w:sz w:val="20"/>
          <w:szCs w:val="20"/>
        </w:rPr>
        <w:t xml:space="preserve"> </w:t>
      </w:r>
      <w:r w:rsidRPr="00AB7DC4">
        <w:rPr>
          <w:rStyle w:val="grame"/>
          <w:color w:val="0F243E" w:themeColor="text2" w:themeShade="80"/>
          <w:sz w:val="20"/>
          <w:szCs w:val="20"/>
        </w:rPr>
        <w:t>15/7/2007</w:t>
      </w:r>
      <w:r w:rsidRPr="00AB7DC4">
        <w:rPr>
          <w:color w:val="0F243E" w:themeColor="text2" w:themeShade="80"/>
          <w:sz w:val="20"/>
          <w:szCs w:val="20"/>
        </w:rPr>
        <w:t xml:space="preserve"> tarih ve 26583 sayılı Resmî Gazete’de yayımlanan 45 Sıra </w:t>
      </w:r>
      <w:r w:rsidRPr="00AB7DC4">
        <w:rPr>
          <w:rStyle w:val="spelle"/>
          <w:color w:val="0F243E" w:themeColor="text2" w:themeShade="80"/>
          <w:sz w:val="20"/>
          <w:szCs w:val="20"/>
        </w:rPr>
        <w:t>no’lu</w:t>
      </w:r>
      <w:r w:rsidRPr="00AB7DC4">
        <w:rPr>
          <w:color w:val="0F243E" w:themeColor="text2" w:themeShade="80"/>
          <w:sz w:val="20"/>
          <w:szCs w:val="20"/>
        </w:rPr>
        <w:t xml:space="preserve"> Faaliyet Bölümlerine İlişkin Türkiye Finansal Raporlama Standardı (TFRS 8) Hakkında Tebliğin ekinde yer alan "TFRS 8 Faaliyet Bölümleri" Standardının 34 üncü Paragrafı aşağıdaki gibi değiştirilmiştir. </w:t>
      </w:r>
    </w:p>
    <w:p w:rsidR="00AB7DC4" w:rsidRPr="00AB7DC4" w:rsidRDefault="00AB7DC4" w:rsidP="00AB7DC4">
      <w:pPr>
        <w:pStyle w:val="3-normalyaz"/>
        <w:spacing w:before="0" w:beforeAutospacing="0" w:after="0" w:afterAutospacing="0" w:line="276" w:lineRule="auto"/>
        <w:rPr>
          <w:color w:val="0F243E" w:themeColor="text2" w:themeShade="80"/>
          <w:sz w:val="20"/>
          <w:szCs w:val="20"/>
        </w:rPr>
      </w:pPr>
      <w:r w:rsidRPr="00AB7DC4">
        <w:rPr>
          <w:color w:val="0F243E" w:themeColor="text2" w:themeShade="80"/>
          <w:sz w:val="20"/>
          <w:szCs w:val="20"/>
        </w:rPr>
        <w:tab/>
        <w:t xml:space="preserve">“İşletme, büyük müşterilerine olan güveninin derecesine ilişkin bilgi sunar. Eğer, tek bir işletme dışı müşteri ile yapılan işlemlerden elde edilen </w:t>
      </w:r>
      <w:r w:rsidRPr="00AB7DC4">
        <w:rPr>
          <w:rStyle w:val="grame"/>
          <w:color w:val="0F243E" w:themeColor="text2" w:themeShade="80"/>
          <w:sz w:val="20"/>
          <w:szCs w:val="20"/>
        </w:rPr>
        <w:t>hasılat</w:t>
      </w:r>
      <w:r w:rsidRPr="00AB7DC4">
        <w:rPr>
          <w:color w:val="0F243E" w:themeColor="text2" w:themeShade="80"/>
          <w:sz w:val="20"/>
          <w:szCs w:val="20"/>
        </w:rPr>
        <w:t xml:space="preserve">, işletmenin hasılatının yüzde 10’u veya daha fazlası kadarsa işletme, bu durumu, buna benzer her bir müşteriden elde edilen hasılatın toplam tutarını ve hasılatları raporlayan bölüm veya bölümlerin hangileri olduğunu açıklar. İşletmenin büyük müşterinin kimliğini veya her bir bölümün söz konusu müşteriden elde ederek raporladığı </w:t>
      </w:r>
      <w:r w:rsidRPr="00AB7DC4">
        <w:rPr>
          <w:rStyle w:val="grame"/>
          <w:color w:val="0F243E" w:themeColor="text2" w:themeShade="80"/>
          <w:sz w:val="20"/>
          <w:szCs w:val="20"/>
        </w:rPr>
        <w:t>hasılat</w:t>
      </w:r>
      <w:r w:rsidRPr="00AB7DC4">
        <w:rPr>
          <w:color w:val="0F243E" w:themeColor="text2" w:themeShade="80"/>
          <w:sz w:val="20"/>
          <w:szCs w:val="20"/>
        </w:rPr>
        <w:t xml:space="preserve"> tutarını açıklamasına gerek yoktur. Bu TFRS amaçları doğrultusunda, ortak kontrol altında raporlayan bir işletme olarak bilinen bir grup işletme tek bir müşteri olarak değerlendirilir. Bununla birlikte bir idarenin kontrolü altında raporlayan bir işletme olarak bilinen söz konusu idare (devlet kuruluşları ve yerel, ulusal veya uluslararası benzer kuruluşlar </w:t>
      </w:r>
      <w:r w:rsidRPr="00AB7DC4">
        <w:rPr>
          <w:rStyle w:val="grame"/>
          <w:color w:val="0F243E" w:themeColor="text2" w:themeShade="80"/>
          <w:sz w:val="20"/>
          <w:szCs w:val="20"/>
        </w:rPr>
        <w:t>dahil</w:t>
      </w:r>
      <w:r w:rsidRPr="00AB7DC4">
        <w:rPr>
          <w:color w:val="0F243E" w:themeColor="text2" w:themeShade="80"/>
          <w:sz w:val="20"/>
          <w:szCs w:val="20"/>
        </w:rPr>
        <w:t xml:space="preserve"> olmak üzere) ve işletmeleri tek bir müşteri olarak değerlendirmek için yargıda bulunmak gereklidir. Bu değerlendirme yapılırken raporlayan işletme, söz konusu işletmeler arasındaki ekonomik bütünleşmenin boyutunu dikkate alır.”</w:t>
      </w:r>
    </w:p>
    <w:p w:rsidR="00AB7DC4" w:rsidRPr="00AB7DC4" w:rsidRDefault="00AB7DC4" w:rsidP="00AB7DC4">
      <w:pPr>
        <w:pStyle w:val="3-normalyaz"/>
        <w:spacing w:before="0" w:beforeAutospacing="0" w:after="0" w:afterAutospacing="0" w:line="276" w:lineRule="auto"/>
        <w:rPr>
          <w:color w:val="0F243E" w:themeColor="text2" w:themeShade="80"/>
          <w:sz w:val="20"/>
          <w:szCs w:val="20"/>
        </w:rPr>
      </w:pPr>
      <w:r w:rsidRPr="00AB7DC4">
        <w:rPr>
          <w:color w:val="0F243E" w:themeColor="text2" w:themeShade="80"/>
          <w:sz w:val="20"/>
          <w:szCs w:val="20"/>
        </w:rPr>
        <w:tab/>
      </w:r>
      <w:r w:rsidRPr="00AB7DC4">
        <w:rPr>
          <w:b/>
          <w:color w:val="0F243E" w:themeColor="text2" w:themeShade="80"/>
          <w:sz w:val="20"/>
          <w:szCs w:val="20"/>
        </w:rPr>
        <w:t>MADDE 2 –</w:t>
      </w:r>
      <w:r w:rsidRPr="00AB7DC4">
        <w:rPr>
          <w:color w:val="0F243E" w:themeColor="text2" w:themeShade="80"/>
          <w:sz w:val="20"/>
          <w:szCs w:val="20"/>
        </w:rPr>
        <w:t xml:space="preserve"> Aynı Standarda 36 </w:t>
      </w:r>
      <w:r w:rsidRPr="00AB7DC4">
        <w:rPr>
          <w:rStyle w:val="spelle"/>
          <w:color w:val="0F243E" w:themeColor="text2" w:themeShade="80"/>
          <w:sz w:val="20"/>
          <w:szCs w:val="20"/>
        </w:rPr>
        <w:t>ncı</w:t>
      </w:r>
      <w:r w:rsidRPr="00AB7DC4">
        <w:rPr>
          <w:color w:val="0F243E" w:themeColor="text2" w:themeShade="80"/>
          <w:sz w:val="20"/>
          <w:szCs w:val="20"/>
        </w:rPr>
        <w:t xml:space="preserve"> Paragrafından sonra gelmek üzere, aşağıda yer alan 36A ve 36B Paragrafları eklenmiştir.</w:t>
      </w:r>
    </w:p>
    <w:p w:rsidR="00AB7DC4" w:rsidRPr="00AB7DC4" w:rsidRDefault="00AB7DC4" w:rsidP="00AB7DC4">
      <w:pPr>
        <w:pStyle w:val="3-normalyaz"/>
        <w:spacing w:before="0" w:beforeAutospacing="0" w:after="0" w:afterAutospacing="0" w:line="276" w:lineRule="auto"/>
        <w:rPr>
          <w:color w:val="0F243E" w:themeColor="text2" w:themeShade="80"/>
          <w:sz w:val="20"/>
          <w:szCs w:val="20"/>
        </w:rPr>
      </w:pPr>
      <w:r w:rsidRPr="00AB7DC4">
        <w:rPr>
          <w:color w:val="0F243E" w:themeColor="text2" w:themeShade="80"/>
          <w:sz w:val="20"/>
          <w:szCs w:val="20"/>
        </w:rPr>
        <w:tab/>
        <w:t>“36A. “-”</w:t>
      </w:r>
    </w:p>
    <w:p w:rsidR="00AB7DC4" w:rsidRPr="00AB7DC4" w:rsidRDefault="00AB7DC4" w:rsidP="00AB7DC4">
      <w:pPr>
        <w:pStyle w:val="3-normalyaz"/>
        <w:spacing w:before="0" w:beforeAutospacing="0" w:after="0" w:afterAutospacing="0" w:line="276" w:lineRule="auto"/>
        <w:rPr>
          <w:color w:val="0F243E" w:themeColor="text2" w:themeShade="80"/>
          <w:sz w:val="20"/>
          <w:szCs w:val="20"/>
        </w:rPr>
      </w:pPr>
      <w:r w:rsidRPr="00AB7DC4">
        <w:rPr>
          <w:color w:val="0F243E" w:themeColor="text2" w:themeShade="80"/>
          <w:sz w:val="20"/>
          <w:szCs w:val="20"/>
        </w:rPr>
        <w:tab/>
        <w:t>36B. “-””</w:t>
      </w:r>
    </w:p>
    <w:p w:rsidR="00AB7DC4" w:rsidRPr="00AB7DC4" w:rsidRDefault="00AB7DC4" w:rsidP="00AB7DC4">
      <w:pPr>
        <w:pStyle w:val="3-normalyaz"/>
        <w:spacing w:before="0" w:beforeAutospacing="0" w:after="0" w:afterAutospacing="0" w:line="276" w:lineRule="auto"/>
        <w:rPr>
          <w:color w:val="0F243E" w:themeColor="text2" w:themeShade="80"/>
          <w:sz w:val="20"/>
          <w:szCs w:val="20"/>
        </w:rPr>
      </w:pPr>
      <w:r w:rsidRPr="00AB7DC4">
        <w:rPr>
          <w:color w:val="0F243E" w:themeColor="text2" w:themeShade="80"/>
          <w:sz w:val="20"/>
          <w:szCs w:val="20"/>
        </w:rPr>
        <w:tab/>
      </w:r>
      <w:r w:rsidRPr="00AB7DC4">
        <w:rPr>
          <w:b/>
          <w:color w:val="0F243E" w:themeColor="text2" w:themeShade="80"/>
          <w:sz w:val="20"/>
          <w:szCs w:val="20"/>
        </w:rPr>
        <w:t>MADDE 3 –</w:t>
      </w:r>
      <w:r w:rsidRPr="00AB7DC4">
        <w:rPr>
          <w:color w:val="0F243E" w:themeColor="text2" w:themeShade="80"/>
          <w:sz w:val="20"/>
          <w:szCs w:val="20"/>
        </w:rPr>
        <w:t xml:space="preserve"> Bu Tebliğde belirtilen hükümler </w:t>
      </w:r>
      <w:r w:rsidRPr="00AB7DC4">
        <w:rPr>
          <w:rStyle w:val="grame"/>
          <w:color w:val="0F243E" w:themeColor="text2" w:themeShade="80"/>
          <w:sz w:val="20"/>
          <w:szCs w:val="20"/>
        </w:rPr>
        <w:t>31/12/2010</w:t>
      </w:r>
      <w:r w:rsidRPr="00AB7DC4">
        <w:rPr>
          <w:color w:val="0F243E" w:themeColor="text2" w:themeShade="80"/>
          <w:sz w:val="20"/>
          <w:szCs w:val="20"/>
        </w:rPr>
        <w:t xml:space="preserve"> tarihinden sonra başlayan hesap dönemleri için geçerli olmak üzere, yayımlandığı tarihte yürürlüğe girer. TMS 24’ün (Aralık 2009’da yayımlanan) </w:t>
      </w:r>
      <w:r w:rsidRPr="00AB7DC4">
        <w:rPr>
          <w:rStyle w:val="grame"/>
          <w:color w:val="0F243E" w:themeColor="text2" w:themeShade="80"/>
          <w:sz w:val="20"/>
          <w:szCs w:val="20"/>
        </w:rPr>
        <w:t>1/1/2011</w:t>
      </w:r>
      <w:r w:rsidRPr="00AB7DC4">
        <w:rPr>
          <w:color w:val="0F243E" w:themeColor="text2" w:themeShade="80"/>
          <w:sz w:val="20"/>
          <w:szCs w:val="20"/>
        </w:rPr>
        <w:t xml:space="preserve"> öncesinde başlayan hesap dönemlerinde uygulanması durumunda, söz konusu önceki dönemler için bu Tebliğ de uygulanır.</w:t>
      </w:r>
      <w:r w:rsidRPr="00AB7DC4">
        <w:rPr>
          <w:color w:val="0F243E" w:themeColor="text2" w:themeShade="80"/>
          <w:sz w:val="20"/>
          <w:szCs w:val="20"/>
        </w:rPr>
        <w:tab/>
      </w:r>
    </w:p>
    <w:p w:rsidR="00AB7DC4" w:rsidRPr="00AB7DC4" w:rsidRDefault="00AB7DC4" w:rsidP="00AB7DC4">
      <w:pPr>
        <w:pStyle w:val="3-normalyaz"/>
        <w:spacing w:before="0" w:beforeAutospacing="0" w:after="0" w:afterAutospacing="0" w:line="276" w:lineRule="auto"/>
        <w:rPr>
          <w:color w:val="0F243E" w:themeColor="text2" w:themeShade="80"/>
          <w:sz w:val="20"/>
          <w:szCs w:val="20"/>
        </w:rPr>
      </w:pPr>
      <w:r w:rsidRPr="00AB7DC4">
        <w:rPr>
          <w:color w:val="0F243E" w:themeColor="text2" w:themeShade="80"/>
          <w:sz w:val="20"/>
          <w:szCs w:val="20"/>
        </w:rPr>
        <w:tab/>
      </w:r>
      <w:r w:rsidRPr="00AB7DC4">
        <w:rPr>
          <w:b/>
          <w:color w:val="0F243E" w:themeColor="text2" w:themeShade="80"/>
          <w:sz w:val="20"/>
          <w:szCs w:val="20"/>
        </w:rPr>
        <w:t>MADDE 4 –</w:t>
      </w:r>
      <w:r w:rsidRPr="00AB7DC4">
        <w:rPr>
          <w:color w:val="0F243E" w:themeColor="text2" w:themeShade="80"/>
          <w:sz w:val="20"/>
          <w:szCs w:val="20"/>
        </w:rPr>
        <w:t xml:space="preserve"> Bu Tebliğ hükümlerini Türkiye Muhasebe Standartları Kurulu yürütür.</w:t>
      </w:r>
    </w:p>
    <w:p w:rsidR="00AB7DC4" w:rsidRPr="00AB7DC4" w:rsidRDefault="00AB7DC4" w:rsidP="00D51056">
      <w:pPr>
        <w:spacing w:after="0"/>
        <w:rPr>
          <w:rFonts w:ascii="Times New Roman" w:eastAsia="Times New Roman" w:hAnsi="Times New Roman" w:cs="Times New Roman"/>
          <w:b/>
          <w:color w:val="0F243E" w:themeColor="text2" w:themeShade="80"/>
          <w:sz w:val="20"/>
          <w:szCs w:val="20"/>
          <w:lang w:eastAsia="tr-TR"/>
        </w:rPr>
      </w:pPr>
    </w:p>
    <w:sectPr w:rsidR="00AB7DC4" w:rsidRPr="00AB7DC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84" w:rsidRDefault="00136084" w:rsidP="00482127">
      <w:pPr>
        <w:spacing w:after="0" w:line="240" w:lineRule="auto"/>
      </w:pPr>
      <w:r>
        <w:separator/>
      </w:r>
    </w:p>
  </w:endnote>
  <w:endnote w:type="continuationSeparator" w:id="0">
    <w:p w:rsidR="00136084" w:rsidRDefault="00136084" w:rsidP="00482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84" w:rsidRDefault="00136084" w:rsidP="00482127">
      <w:pPr>
        <w:spacing w:after="0" w:line="240" w:lineRule="auto"/>
      </w:pPr>
      <w:r>
        <w:separator/>
      </w:r>
    </w:p>
  </w:footnote>
  <w:footnote w:type="continuationSeparator" w:id="0">
    <w:p w:rsidR="00136084" w:rsidRDefault="00136084" w:rsidP="004821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hyphenationZone w:val="425"/>
  <w:characterSpacingControl w:val="doNotCompress"/>
  <w:footnotePr>
    <w:footnote w:id="-1"/>
    <w:footnote w:id="0"/>
  </w:footnotePr>
  <w:endnotePr>
    <w:endnote w:id="-1"/>
    <w:endnote w:id="0"/>
  </w:endnotePr>
  <w:compat/>
  <w:rsids>
    <w:rsidRoot w:val="00D51056"/>
    <w:rsid w:val="00136084"/>
    <w:rsid w:val="001E5D9A"/>
    <w:rsid w:val="002B61F5"/>
    <w:rsid w:val="002E489C"/>
    <w:rsid w:val="00386E2C"/>
    <w:rsid w:val="0040536B"/>
    <w:rsid w:val="00473F35"/>
    <w:rsid w:val="00482127"/>
    <w:rsid w:val="005E596E"/>
    <w:rsid w:val="0062142D"/>
    <w:rsid w:val="00627628"/>
    <w:rsid w:val="00660BAA"/>
    <w:rsid w:val="00662D8A"/>
    <w:rsid w:val="0068313A"/>
    <w:rsid w:val="006E3FA1"/>
    <w:rsid w:val="00717A51"/>
    <w:rsid w:val="007D0F86"/>
    <w:rsid w:val="007D22B7"/>
    <w:rsid w:val="00883289"/>
    <w:rsid w:val="008A1540"/>
    <w:rsid w:val="009623B8"/>
    <w:rsid w:val="009A3723"/>
    <w:rsid w:val="00A66C96"/>
    <w:rsid w:val="00AB7DC4"/>
    <w:rsid w:val="00B12943"/>
    <w:rsid w:val="00B170BF"/>
    <w:rsid w:val="00BC6727"/>
    <w:rsid w:val="00BC6BD9"/>
    <w:rsid w:val="00BD0B40"/>
    <w:rsid w:val="00C74DA2"/>
    <w:rsid w:val="00D51056"/>
    <w:rsid w:val="00D66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qFormat/>
    <w:rsid w:val="00D6693E"/>
    <w:pPr>
      <w:keepNext/>
      <w:spacing w:after="0" w:line="240" w:lineRule="auto"/>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qFormat/>
    <w:rsid w:val="00D6693E"/>
    <w:pPr>
      <w:keepNext/>
      <w:spacing w:after="0" w:line="240" w:lineRule="auto"/>
      <w:jc w:val="center"/>
      <w:outlineLvl w:val="1"/>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 w:type="character" w:customStyle="1" w:styleId="Balk1Char">
    <w:name w:val="Başlık 1 Char"/>
    <w:basedOn w:val="VarsaylanParagrafYazTipi"/>
    <w:link w:val="Balk1"/>
    <w:rsid w:val="00D6693E"/>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D6693E"/>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D6693E"/>
    <w:pPr>
      <w:spacing w:after="0" w:line="240" w:lineRule="auto"/>
      <w:jc w:val="both"/>
    </w:pPr>
    <w:rPr>
      <w:rFonts w:ascii="Arial" w:eastAsia="Times New Roman" w:hAnsi="Arial" w:cs="Arial"/>
      <w:color w:val="000000"/>
      <w:sz w:val="20"/>
      <w:szCs w:val="24"/>
      <w:lang w:eastAsia="tr-TR"/>
    </w:rPr>
  </w:style>
  <w:style w:type="character" w:customStyle="1" w:styleId="GvdeMetniChar">
    <w:name w:val="Gövde Metni Char"/>
    <w:basedOn w:val="VarsaylanParagrafYazTipi"/>
    <w:link w:val="GvdeMetni"/>
    <w:rsid w:val="00D6693E"/>
    <w:rPr>
      <w:rFonts w:ascii="Arial" w:eastAsia="Times New Roman" w:hAnsi="Arial" w:cs="Arial"/>
      <w:color w:val="000000"/>
      <w:sz w:val="20"/>
      <w:szCs w:val="24"/>
      <w:lang w:eastAsia="tr-TR"/>
    </w:rPr>
  </w:style>
  <w:style w:type="paragraph" w:styleId="BalonMetni">
    <w:name w:val="Balloon Text"/>
    <w:basedOn w:val="Normal"/>
    <w:link w:val="BalonMetniChar"/>
    <w:uiPriority w:val="99"/>
    <w:semiHidden/>
    <w:unhideWhenUsed/>
    <w:rsid w:val="00D669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693E"/>
    <w:rPr>
      <w:rFonts w:ascii="Tahoma" w:hAnsi="Tahoma" w:cs="Tahoma"/>
      <w:sz w:val="16"/>
      <w:szCs w:val="16"/>
    </w:rPr>
  </w:style>
  <w:style w:type="paragraph" w:customStyle="1" w:styleId="asbnormal">
    <w:name w:val="ıasbnormal"/>
    <w:basedOn w:val="Normal"/>
    <w:rsid w:val="004821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asbprinciple">
    <w:name w:val="ıasbprinciple"/>
    <w:basedOn w:val="Normal"/>
    <w:rsid w:val="004821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635133157">
      <w:bodyDiv w:val="1"/>
      <w:marLeft w:val="0"/>
      <w:marRight w:val="0"/>
      <w:marTop w:val="0"/>
      <w:marBottom w:val="0"/>
      <w:divBdr>
        <w:top w:val="none" w:sz="0" w:space="0" w:color="auto"/>
        <w:left w:val="none" w:sz="0" w:space="0" w:color="auto"/>
        <w:bottom w:val="none" w:sz="0" w:space="0" w:color="auto"/>
        <w:right w:val="none" w:sz="0" w:space="0" w:color="auto"/>
      </w:divBdr>
      <w:divsChild>
        <w:div w:id="15788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324</Words>
  <Characters>1852</Characters>
  <Application>Microsoft Office Word</Application>
  <DocSecurity>0</DocSecurity>
  <Lines>15</Lines>
  <Paragraphs>4</Paragraphs>
  <ScaleCrop>false</ScaleCrop>
  <Company>TURMOB</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cp:revision>
  <dcterms:created xsi:type="dcterms:W3CDTF">2010-01-04T06:30:00Z</dcterms:created>
  <dcterms:modified xsi:type="dcterms:W3CDTF">2010-01-04T09:15:00Z</dcterms:modified>
</cp:coreProperties>
</file>