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393A8A" w:rsidRDefault="00627628">
      <w:pPr>
        <w:rPr>
          <w:rFonts w:ascii="Times New Roman" w:hAnsi="Times New Roman" w:cs="Times New Roman"/>
          <w:color w:val="0F243E" w:themeColor="text2" w:themeShade="80"/>
          <w:sz w:val="20"/>
          <w:szCs w:val="20"/>
        </w:rPr>
      </w:pPr>
    </w:p>
    <w:p w:rsidR="00D51056" w:rsidRPr="00393A8A" w:rsidRDefault="00D51056">
      <w:pPr>
        <w:rPr>
          <w:rFonts w:ascii="Times New Roman" w:hAnsi="Times New Roman" w:cs="Times New Roman"/>
          <w:color w:val="0F243E" w:themeColor="text2" w:themeShade="80"/>
          <w:sz w:val="20"/>
          <w:szCs w:val="20"/>
        </w:rPr>
      </w:pPr>
    </w:p>
    <w:p w:rsidR="00D51056" w:rsidRPr="00393A8A" w:rsidRDefault="00D51056" w:rsidP="00D51056">
      <w:pPr>
        <w:spacing w:after="0"/>
        <w:rPr>
          <w:rFonts w:ascii="Times New Roman" w:eastAsia="Times New Roman" w:hAnsi="Times New Roman" w:cs="Times New Roman"/>
          <w:b/>
          <w:color w:val="0F243E" w:themeColor="text2" w:themeShade="80"/>
          <w:sz w:val="20"/>
          <w:szCs w:val="20"/>
          <w:u w:val="single"/>
          <w:lang w:eastAsia="tr-TR"/>
        </w:rPr>
      </w:pPr>
      <w:r w:rsidRPr="00393A8A">
        <w:rPr>
          <w:rFonts w:ascii="Times New Roman" w:eastAsia="Times New Roman" w:hAnsi="Times New Roman" w:cs="Times New Roman"/>
          <w:b/>
          <w:color w:val="0F243E" w:themeColor="text2" w:themeShade="80"/>
          <w:sz w:val="20"/>
          <w:szCs w:val="20"/>
          <w:u w:val="single"/>
          <w:lang w:eastAsia="tr-TR"/>
        </w:rPr>
        <w:t>31 Aralık 2009 Tarih,</w:t>
      </w:r>
      <w:r w:rsidRPr="00393A8A">
        <w:rPr>
          <w:rFonts w:ascii="Times New Roman" w:eastAsia="Times New Roman" w:hAnsi="Times New Roman" w:cs="Times New Roman"/>
          <w:b/>
          <w:color w:val="0F243E" w:themeColor="text2" w:themeShade="80"/>
          <w:sz w:val="20"/>
          <w:szCs w:val="20"/>
          <w:u w:val="single"/>
          <w:lang w:eastAsia="tr-TR"/>
        </w:rPr>
        <w:tab/>
      </w:r>
      <w:r w:rsidRPr="00393A8A">
        <w:rPr>
          <w:rFonts w:ascii="Times New Roman" w:eastAsia="Times New Roman" w:hAnsi="Times New Roman" w:cs="Times New Roman"/>
          <w:b/>
          <w:color w:val="0F243E" w:themeColor="text2" w:themeShade="80"/>
          <w:sz w:val="20"/>
          <w:szCs w:val="20"/>
          <w:u w:val="single"/>
          <w:lang w:eastAsia="tr-TR"/>
        </w:rPr>
        <w:tab/>
      </w:r>
      <w:r w:rsidRPr="00393A8A">
        <w:rPr>
          <w:rFonts w:ascii="Times New Roman" w:eastAsia="Times New Roman" w:hAnsi="Times New Roman" w:cs="Times New Roman"/>
          <w:b/>
          <w:color w:val="0F243E" w:themeColor="text2" w:themeShade="80"/>
          <w:sz w:val="20"/>
          <w:szCs w:val="20"/>
          <w:u w:val="single"/>
          <w:lang w:eastAsia="tr-TR"/>
        </w:rPr>
        <w:tab/>
      </w:r>
      <w:r w:rsidRPr="00393A8A">
        <w:rPr>
          <w:rFonts w:ascii="Times New Roman" w:eastAsia="Times New Roman" w:hAnsi="Times New Roman" w:cs="Times New Roman"/>
          <w:b/>
          <w:color w:val="0F243E" w:themeColor="text2" w:themeShade="80"/>
          <w:sz w:val="20"/>
          <w:szCs w:val="20"/>
          <w:u w:val="single"/>
          <w:lang w:eastAsia="tr-TR"/>
        </w:rPr>
        <w:tab/>
      </w:r>
      <w:r w:rsidRPr="00393A8A">
        <w:rPr>
          <w:rFonts w:ascii="Times New Roman" w:eastAsia="Times New Roman" w:hAnsi="Times New Roman" w:cs="Times New Roman"/>
          <w:b/>
          <w:color w:val="0F243E" w:themeColor="text2" w:themeShade="80"/>
          <w:sz w:val="20"/>
          <w:szCs w:val="20"/>
          <w:u w:val="single"/>
          <w:lang w:eastAsia="tr-TR"/>
        </w:rPr>
        <w:tab/>
      </w:r>
      <w:r w:rsidRPr="00393A8A">
        <w:rPr>
          <w:rFonts w:ascii="Times New Roman" w:eastAsia="Times New Roman" w:hAnsi="Times New Roman" w:cs="Times New Roman"/>
          <w:b/>
          <w:color w:val="0F243E" w:themeColor="text2" w:themeShade="80"/>
          <w:sz w:val="20"/>
          <w:szCs w:val="20"/>
          <w:u w:val="single"/>
          <w:lang w:eastAsia="tr-TR"/>
        </w:rPr>
        <w:tab/>
      </w:r>
      <w:r w:rsidRPr="00393A8A">
        <w:rPr>
          <w:rFonts w:ascii="Times New Roman" w:eastAsia="Times New Roman" w:hAnsi="Times New Roman" w:cs="Times New Roman"/>
          <w:b/>
          <w:color w:val="0F243E" w:themeColor="text2" w:themeShade="80"/>
          <w:sz w:val="20"/>
          <w:szCs w:val="20"/>
          <w:u w:val="single"/>
          <w:lang w:eastAsia="tr-TR"/>
        </w:rPr>
        <w:tab/>
        <w:t>Sayı : 27449 (</w:t>
      </w:r>
      <w:r w:rsidR="00D6693E" w:rsidRPr="00393A8A">
        <w:rPr>
          <w:rFonts w:ascii="Times New Roman" w:eastAsia="Times New Roman" w:hAnsi="Times New Roman" w:cs="Times New Roman"/>
          <w:b/>
          <w:color w:val="0F243E" w:themeColor="text2" w:themeShade="80"/>
          <w:sz w:val="20"/>
          <w:szCs w:val="20"/>
          <w:u w:val="single"/>
          <w:lang w:eastAsia="tr-TR"/>
        </w:rPr>
        <w:t>4</w:t>
      </w:r>
      <w:r w:rsidRPr="00393A8A">
        <w:rPr>
          <w:rFonts w:ascii="Times New Roman" w:eastAsia="Times New Roman" w:hAnsi="Times New Roman" w:cs="Times New Roman"/>
          <w:b/>
          <w:color w:val="0F243E" w:themeColor="text2" w:themeShade="80"/>
          <w:sz w:val="20"/>
          <w:szCs w:val="20"/>
          <w:u w:val="single"/>
          <w:lang w:eastAsia="tr-TR"/>
        </w:rPr>
        <w:t>. Mükerrer)</w:t>
      </w:r>
    </w:p>
    <w:p w:rsidR="008A1540" w:rsidRPr="00393A8A" w:rsidRDefault="008A1540" w:rsidP="00D51056">
      <w:pPr>
        <w:spacing w:after="0"/>
        <w:rPr>
          <w:rFonts w:ascii="Times New Roman" w:eastAsia="Times New Roman" w:hAnsi="Times New Roman" w:cs="Times New Roman"/>
          <w:b/>
          <w:color w:val="0F243E" w:themeColor="text2" w:themeShade="80"/>
          <w:sz w:val="20"/>
          <w:szCs w:val="20"/>
          <w:lang w:eastAsia="tr-TR"/>
        </w:rPr>
      </w:pPr>
    </w:p>
    <w:p w:rsidR="00393A8A" w:rsidRPr="00393A8A" w:rsidRDefault="00393A8A" w:rsidP="00D51056">
      <w:pPr>
        <w:spacing w:after="0"/>
        <w:rPr>
          <w:rFonts w:ascii="Times New Roman" w:eastAsia="Times New Roman" w:hAnsi="Times New Roman" w:cs="Times New Roman"/>
          <w:b/>
          <w:color w:val="0F243E" w:themeColor="text2" w:themeShade="80"/>
          <w:sz w:val="20"/>
          <w:szCs w:val="20"/>
          <w:lang w:eastAsia="tr-TR"/>
        </w:rPr>
      </w:pPr>
    </w:p>
    <w:p w:rsidR="00393A8A" w:rsidRPr="00393A8A" w:rsidRDefault="00393A8A" w:rsidP="00D51056">
      <w:pPr>
        <w:spacing w:after="0"/>
        <w:rPr>
          <w:rFonts w:ascii="Times New Roman" w:eastAsia="Times New Roman" w:hAnsi="Times New Roman" w:cs="Times New Roman"/>
          <w:b/>
          <w:color w:val="0F243E" w:themeColor="text2" w:themeShade="80"/>
          <w:sz w:val="20"/>
          <w:szCs w:val="20"/>
          <w:lang w:eastAsia="tr-TR"/>
        </w:rPr>
      </w:pPr>
    </w:p>
    <w:p w:rsidR="00393A8A" w:rsidRPr="00393A8A" w:rsidRDefault="00393A8A" w:rsidP="00393A8A">
      <w:pPr>
        <w:pStyle w:val="1-baslk"/>
        <w:tabs>
          <w:tab w:val="left" w:pos="708"/>
        </w:tabs>
        <w:spacing w:before="0" w:beforeAutospacing="0" w:after="0" w:afterAutospacing="0" w:line="276" w:lineRule="auto"/>
        <w:ind w:firstLine="567"/>
        <w:rPr>
          <w:b/>
          <w:color w:val="0F243E" w:themeColor="text2" w:themeShade="80"/>
          <w:sz w:val="20"/>
          <w:szCs w:val="20"/>
        </w:rPr>
      </w:pPr>
      <w:r w:rsidRPr="00393A8A">
        <w:rPr>
          <w:b/>
          <w:color w:val="0F243E" w:themeColor="text2" w:themeShade="80"/>
          <w:sz w:val="20"/>
          <w:szCs w:val="20"/>
        </w:rPr>
        <w:t>Türkiye Muhasebe Standartları Kurulundan:</w:t>
      </w:r>
    </w:p>
    <w:p w:rsidR="00393A8A" w:rsidRPr="00393A8A" w:rsidRDefault="00393A8A" w:rsidP="00393A8A">
      <w:pPr>
        <w:pStyle w:val="1-baslk"/>
        <w:spacing w:before="0" w:beforeAutospacing="0" w:after="0" w:afterAutospacing="0" w:line="276" w:lineRule="auto"/>
        <w:ind w:firstLine="567"/>
        <w:rPr>
          <w:b/>
          <w:color w:val="0F243E" w:themeColor="text2" w:themeShade="80"/>
          <w:sz w:val="20"/>
          <w:szCs w:val="20"/>
        </w:rPr>
      </w:pPr>
      <w:r w:rsidRPr="00393A8A">
        <w:rPr>
          <w:b/>
          <w:color w:val="0F243E" w:themeColor="text2" w:themeShade="80"/>
          <w:sz w:val="20"/>
          <w:szCs w:val="20"/>
        </w:rPr>
        <w:t> </w:t>
      </w:r>
    </w:p>
    <w:p w:rsidR="00393A8A" w:rsidRPr="00393A8A" w:rsidRDefault="00393A8A" w:rsidP="00393A8A">
      <w:pPr>
        <w:pStyle w:val="2-ortabaslk"/>
        <w:spacing w:before="0" w:beforeAutospacing="0" w:after="0" w:afterAutospacing="0" w:line="276" w:lineRule="auto"/>
        <w:jc w:val="center"/>
        <w:rPr>
          <w:color w:val="0F243E" w:themeColor="text2" w:themeShade="80"/>
          <w:sz w:val="20"/>
          <w:szCs w:val="20"/>
        </w:rPr>
      </w:pPr>
      <w:r w:rsidRPr="00393A8A">
        <w:rPr>
          <w:b/>
          <w:bCs/>
          <w:color w:val="0F243E" w:themeColor="text2" w:themeShade="80"/>
          <w:sz w:val="20"/>
          <w:szCs w:val="20"/>
        </w:rPr>
        <w:t>FİNANSAL ARAÇLAR: SUNUMA İLİŞKİN TÜRKİYE MUHASEBE STANDARDI</w:t>
      </w:r>
    </w:p>
    <w:p w:rsidR="00393A8A" w:rsidRPr="00393A8A" w:rsidRDefault="00393A8A" w:rsidP="00393A8A">
      <w:pPr>
        <w:pStyle w:val="2-ortabaslk"/>
        <w:spacing w:before="0" w:beforeAutospacing="0" w:after="0" w:afterAutospacing="0" w:line="276" w:lineRule="auto"/>
        <w:jc w:val="center"/>
        <w:rPr>
          <w:color w:val="0F243E" w:themeColor="text2" w:themeShade="80"/>
          <w:sz w:val="20"/>
          <w:szCs w:val="20"/>
        </w:rPr>
      </w:pPr>
      <w:r w:rsidRPr="00393A8A">
        <w:rPr>
          <w:b/>
          <w:bCs/>
          <w:color w:val="0F243E" w:themeColor="text2" w:themeShade="80"/>
          <w:sz w:val="20"/>
          <w:szCs w:val="20"/>
        </w:rPr>
        <w:t>(TMS 32) HAKKINDA TEBLİĞDE DEĞİŞİKLİK YAPILMASINA İLİŞKİN TEBLİĞ</w:t>
      </w:r>
    </w:p>
    <w:p w:rsidR="00393A8A" w:rsidRPr="00393A8A" w:rsidRDefault="00393A8A" w:rsidP="00393A8A">
      <w:pPr>
        <w:pStyle w:val="2-ortabaslk"/>
        <w:spacing w:before="0" w:beforeAutospacing="0" w:after="0" w:afterAutospacing="0" w:line="276" w:lineRule="auto"/>
        <w:jc w:val="center"/>
        <w:rPr>
          <w:color w:val="0F243E" w:themeColor="text2" w:themeShade="80"/>
          <w:sz w:val="20"/>
          <w:szCs w:val="20"/>
        </w:rPr>
      </w:pPr>
      <w:r w:rsidRPr="00393A8A">
        <w:rPr>
          <w:b/>
          <w:bCs/>
          <w:color w:val="0F243E" w:themeColor="text2" w:themeShade="80"/>
          <w:sz w:val="20"/>
          <w:szCs w:val="20"/>
        </w:rPr>
        <w:t>(SIRA NO:171)</w:t>
      </w:r>
    </w:p>
    <w:p w:rsidR="00393A8A" w:rsidRPr="00393A8A" w:rsidRDefault="00393A8A" w:rsidP="00393A8A">
      <w:pPr>
        <w:pStyle w:val="2-ortabaslk"/>
        <w:spacing w:before="0" w:beforeAutospacing="0" w:after="0" w:afterAutospacing="0" w:line="276" w:lineRule="auto"/>
        <w:rPr>
          <w:color w:val="0F243E" w:themeColor="text2" w:themeShade="80"/>
          <w:sz w:val="20"/>
          <w:szCs w:val="20"/>
        </w:rPr>
      </w:pPr>
      <w:r w:rsidRPr="00393A8A">
        <w:rPr>
          <w:color w:val="0F243E" w:themeColor="text2" w:themeShade="80"/>
          <w:sz w:val="20"/>
          <w:szCs w:val="20"/>
        </w:rPr>
        <w:t> </w:t>
      </w:r>
    </w:p>
    <w:p w:rsidR="00393A8A" w:rsidRPr="00393A8A" w:rsidRDefault="00393A8A" w:rsidP="00393A8A">
      <w:pPr>
        <w:pStyle w:val="3-normalyaz"/>
        <w:spacing w:before="0" w:beforeAutospacing="0" w:after="0" w:afterAutospacing="0" w:line="276" w:lineRule="auto"/>
        <w:rPr>
          <w:color w:val="0F243E" w:themeColor="text2" w:themeShade="80"/>
          <w:sz w:val="20"/>
          <w:szCs w:val="20"/>
        </w:rPr>
      </w:pPr>
      <w:r w:rsidRPr="00393A8A">
        <w:rPr>
          <w:color w:val="0F243E" w:themeColor="text2" w:themeShade="80"/>
          <w:sz w:val="20"/>
          <w:szCs w:val="20"/>
        </w:rPr>
        <w:tab/>
      </w:r>
      <w:r w:rsidRPr="00393A8A">
        <w:rPr>
          <w:b/>
          <w:color w:val="0F243E" w:themeColor="text2" w:themeShade="80"/>
          <w:sz w:val="20"/>
          <w:szCs w:val="20"/>
        </w:rPr>
        <w:t>MADDE 1 –</w:t>
      </w:r>
      <w:r w:rsidRPr="00393A8A">
        <w:rPr>
          <w:color w:val="0F243E" w:themeColor="text2" w:themeShade="80"/>
          <w:sz w:val="20"/>
          <w:szCs w:val="20"/>
        </w:rPr>
        <w:t xml:space="preserve"> </w:t>
      </w:r>
      <w:r w:rsidRPr="00393A8A">
        <w:rPr>
          <w:rStyle w:val="grame"/>
          <w:color w:val="0F243E" w:themeColor="text2" w:themeShade="80"/>
          <w:sz w:val="20"/>
          <w:szCs w:val="20"/>
        </w:rPr>
        <w:t>28/10/2006</w:t>
      </w:r>
      <w:r w:rsidRPr="00393A8A">
        <w:rPr>
          <w:color w:val="0F243E" w:themeColor="text2" w:themeShade="80"/>
          <w:sz w:val="20"/>
          <w:szCs w:val="20"/>
        </w:rPr>
        <w:t xml:space="preserve"> tarih ve 26330 sayılı Resmî Gazete’de yayımlanan 40 Sıra </w:t>
      </w:r>
      <w:r w:rsidRPr="00393A8A">
        <w:rPr>
          <w:rStyle w:val="spelle"/>
          <w:color w:val="0F243E" w:themeColor="text2" w:themeShade="80"/>
          <w:sz w:val="20"/>
          <w:szCs w:val="20"/>
        </w:rPr>
        <w:t>no’lu</w:t>
      </w:r>
      <w:r w:rsidRPr="00393A8A">
        <w:rPr>
          <w:color w:val="0F243E" w:themeColor="text2" w:themeShade="80"/>
          <w:sz w:val="20"/>
          <w:szCs w:val="20"/>
        </w:rPr>
        <w:t xml:space="preserve"> Finansal Araçlar: Sunuma İlişkin Türkiye Muhasebe Standardı (TMS 32) Hakkında Tebliğin ekinde yer alan "TMS 32 Finansal Araçlar: Sunum" Standardının 11 inci Paragrafında yer alan “Finansal Borç” tanımı altındaki (b)(</w:t>
      </w:r>
      <w:r w:rsidRPr="00393A8A">
        <w:rPr>
          <w:rStyle w:val="spelle"/>
          <w:color w:val="0F243E" w:themeColor="text2" w:themeShade="80"/>
          <w:sz w:val="20"/>
          <w:szCs w:val="20"/>
        </w:rPr>
        <w:t>ii</w:t>
      </w:r>
      <w:r w:rsidRPr="00393A8A">
        <w:rPr>
          <w:color w:val="0F243E" w:themeColor="text2" w:themeShade="80"/>
          <w:sz w:val="20"/>
          <w:szCs w:val="20"/>
        </w:rPr>
        <w:t>) bendi aşağıdaki şekilde değiştirilmiştir.</w:t>
      </w:r>
    </w:p>
    <w:p w:rsidR="00393A8A" w:rsidRPr="00393A8A" w:rsidRDefault="00393A8A" w:rsidP="00393A8A">
      <w:pPr>
        <w:pStyle w:val="3-normalyaz"/>
        <w:spacing w:before="0" w:beforeAutospacing="0" w:after="0" w:afterAutospacing="0" w:line="276" w:lineRule="auto"/>
        <w:rPr>
          <w:color w:val="0F243E" w:themeColor="text2" w:themeShade="80"/>
          <w:sz w:val="20"/>
          <w:szCs w:val="20"/>
        </w:rPr>
      </w:pPr>
      <w:r w:rsidRPr="00393A8A">
        <w:rPr>
          <w:color w:val="0F243E" w:themeColor="text2" w:themeShade="80"/>
          <w:sz w:val="20"/>
          <w:szCs w:val="20"/>
        </w:rPr>
        <w:tab/>
        <w:t xml:space="preserve">“İşletmenin belirli sayıda </w:t>
      </w:r>
      <w:r w:rsidRPr="00393A8A">
        <w:rPr>
          <w:rStyle w:val="spelle"/>
          <w:color w:val="0F243E" w:themeColor="text2" w:themeShade="80"/>
          <w:sz w:val="20"/>
          <w:szCs w:val="20"/>
        </w:rPr>
        <w:t>özkaynağına</w:t>
      </w:r>
      <w:r w:rsidRPr="00393A8A">
        <w:rPr>
          <w:color w:val="0F243E" w:themeColor="text2" w:themeShade="80"/>
          <w:sz w:val="20"/>
          <w:szCs w:val="20"/>
        </w:rPr>
        <w:t xml:space="preserve"> dayalı finansal aracının, belirli bir nakit tutar ya da başka bir finansal varlık ile takas edilmesi dışındaki şekillerde ödenecek ya da ödenebilecek bir türev sözleşme. Bu nedenle, herhangi bir para birimi cinsinden belirli bir tutar karşılığında işletmenin </w:t>
      </w:r>
      <w:r w:rsidRPr="00393A8A">
        <w:rPr>
          <w:rStyle w:val="spelle"/>
          <w:color w:val="0F243E" w:themeColor="text2" w:themeShade="80"/>
          <w:sz w:val="20"/>
          <w:szCs w:val="20"/>
        </w:rPr>
        <w:t>özkaynağına</w:t>
      </w:r>
      <w:r w:rsidRPr="00393A8A">
        <w:rPr>
          <w:color w:val="0F243E" w:themeColor="text2" w:themeShade="80"/>
          <w:sz w:val="20"/>
          <w:szCs w:val="20"/>
        </w:rPr>
        <w:t xml:space="preserve"> dayalı finansal araçlarının elde edilmesine ilişkin hak, </w:t>
      </w:r>
      <w:r w:rsidRPr="00393A8A">
        <w:rPr>
          <w:rStyle w:val="grame"/>
          <w:color w:val="0F243E" w:themeColor="text2" w:themeShade="80"/>
          <w:sz w:val="20"/>
          <w:szCs w:val="20"/>
        </w:rPr>
        <w:t>opsiyon</w:t>
      </w:r>
      <w:r w:rsidRPr="00393A8A">
        <w:rPr>
          <w:color w:val="0F243E" w:themeColor="text2" w:themeShade="80"/>
          <w:sz w:val="20"/>
          <w:szCs w:val="20"/>
        </w:rPr>
        <w:t xml:space="preserve"> ya da teminatlar; işletmenin, bunları, </w:t>
      </w:r>
      <w:r w:rsidRPr="00393A8A">
        <w:rPr>
          <w:rStyle w:val="spelle"/>
          <w:color w:val="0F243E" w:themeColor="text2" w:themeShade="80"/>
          <w:sz w:val="20"/>
          <w:szCs w:val="20"/>
        </w:rPr>
        <w:t>özkaynağına</w:t>
      </w:r>
      <w:r w:rsidRPr="00393A8A">
        <w:rPr>
          <w:color w:val="0F243E" w:themeColor="text2" w:themeShade="80"/>
          <w:sz w:val="20"/>
          <w:szCs w:val="20"/>
        </w:rPr>
        <w:t xml:space="preserve"> dayalı ve aynı sınıftaki türev olmayan finansal araçlarını ellerinde bulunduranların tümüne oransal olarak sunması durumunda </w:t>
      </w:r>
      <w:r w:rsidRPr="00393A8A">
        <w:rPr>
          <w:rStyle w:val="spelle"/>
          <w:color w:val="0F243E" w:themeColor="text2" w:themeShade="80"/>
          <w:sz w:val="20"/>
          <w:szCs w:val="20"/>
        </w:rPr>
        <w:t>özkaynağa</w:t>
      </w:r>
      <w:r w:rsidRPr="00393A8A">
        <w:rPr>
          <w:color w:val="0F243E" w:themeColor="text2" w:themeShade="80"/>
          <w:sz w:val="20"/>
          <w:szCs w:val="20"/>
        </w:rPr>
        <w:t xml:space="preserve"> dayalı finansal araç niteliğindedir. Yine, bu nedenlerle, işletmenin </w:t>
      </w:r>
      <w:r w:rsidRPr="00393A8A">
        <w:rPr>
          <w:rStyle w:val="spelle"/>
          <w:color w:val="0F243E" w:themeColor="text2" w:themeShade="80"/>
          <w:sz w:val="20"/>
          <w:szCs w:val="20"/>
        </w:rPr>
        <w:t>özkaynağına</w:t>
      </w:r>
      <w:r w:rsidRPr="00393A8A">
        <w:rPr>
          <w:color w:val="0F243E" w:themeColor="text2" w:themeShade="80"/>
          <w:sz w:val="20"/>
          <w:szCs w:val="20"/>
        </w:rPr>
        <w:t xml:space="preserve"> dayalı finansal araçları; 16A - 16B Paragrafları uyarınca </w:t>
      </w:r>
      <w:r w:rsidRPr="00393A8A">
        <w:rPr>
          <w:rStyle w:val="spelle"/>
          <w:color w:val="0F243E" w:themeColor="text2" w:themeShade="80"/>
          <w:sz w:val="20"/>
          <w:szCs w:val="20"/>
        </w:rPr>
        <w:t>özkaynağa</w:t>
      </w:r>
      <w:r w:rsidRPr="00393A8A">
        <w:rPr>
          <w:color w:val="0F243E" w:themeColor="text2" w:themeShade="80"/>
          <w:sz w:val="20"/>
          <w:szCs w:val="20"/>
        </w:rPr>
        <w:t xml:space="preserve"> dayalı finansal araç olarak sınıflandırılan satım opsiyonu bulunan finansal araçları, 16C - 16D Paragrafları uyarınca </w:t>
      </w:r>
      <w:r w:rsidRPr="00393A8A">
        <w:rPr>
          <w:rStyle w:val="spelle"/>
          <w:color w:val="0F243E" w:themeColor="text2" w:themeShade="80"/>
          <w:sz w:val="20"/>
          <w:szCs w:val="20"/>
        </w:rPr>
        <w:t>özkaynağa</w:t>
      </w:r>
      <w:r w:rsidRPr="00393A8A">
        <w:rPr>
          <w:color w:val="0F243E" w:themeColor="text2" w:themeShade="80"/>
          <w:sz w:val="20"/>
          <w:szCs w:val="20"/>
        </w:rPr>
        <w:t xml:space="preserve"> dayalı finansal araç olarak sınıflandırılan ve işletmeye sadece tasfiye durumunda diğer tarafa işletmenin net varlıklarından oransal bir pay verme yükümlülüğü getiren finansal araçları veya söz konusu araçların gelecekte yapılacak </w:t>
      </w:r>
      <w:r w:rsidRPr="00393A8A">
        <w:rPr>
          <w:rStyle w:val="grame"/>
          <w:color w:val="0F243E" w:themeColor="text2" w:themeShade="80"/>
          <w:sz w:val="20"/>
          <w:szCs w:val="20"/>
        </w:rPr>
        <w:t>tahsilatları</w:t>
      </w:r>
      <w:r w:rsidRPr="00393A8A">
        <w:rPr>
          <w:color w:val="0F243E" w:themeColor="text2" w:themeShade="80"/>
          <w:sz w:val="20"/>
          <w:szCs w:val="20"/>
        </w:rPr>
        <w:t xml:space="preserve"> ya da teslimatlarına ilişkin sözleşmeler olarak düzenlenen araçları içermez.”</w:t>
      </w:r>
    </w:p>
    <w:p w:rsidR="00393A8A" w:rsidRPr="00393A8A" w:rsidRDefault="00393A8A" w:rsidP="00393A8A">
      <w:pPr>
        <w:pStyle w:val="3-normalyaz"/>
        <w:spacing w:before="0" w:beforeAutospacing="0" w:after="0" w:afterAutospacing="0" w:line="276" w:lineRule="auto"/>
        <w:rPr>
          <w:color w:val="0F243E" w:themeColor="text2" w:themeShade="80"/>
          <w:sz w:val="20"/>
          <w:szCs w:val="20"/>
        </w:rPr>
      </w:pPr>
      <w:r w:rsidRPr="00393A8A">
        <w:rPr>
          <w:color w:val="0F243E" w:themeColor="text2" w:themeShade="80"/>
          <w:sz w:val="20"/>
          <w:szCs w:val="20"/>
        </w:rPr>
        <w:tab/>
      </w:r>
      <w:r w:rsidRPr="00393A8A">
        <w:rPr>
          <w:b/>
          <w:color w:val="0F243E" w:themeColor="text2" w:themeShade="80"/>
          <w:sz w:val="20"/>
          <w:szCs w:val="20"/>
        </w:rPr>
        <w:t>MADDE 2 –</w:t>
      </w:r>
      <w:r w:rsidRPr="00393A8A">
        <w:rPr>
          <w:color w:val="0F243E" w:themeColor="text2" w:themeShade="80"/>
          <w:sz w:val="20"/>
          <w:szCs w:val="20"/>
        </w:rPr>
        <w:t xml:space="preserve"> Aynı Standardın 16 </w:t>
      </w:r>
      <w:r w:rsidRPr="00393A8A">
        <w:rPr>
          <w:rStyle w:val="spelle"/>
          <w:color w:val="0F243E" w:themeColor="text2" w:themeShade="80"/>
          <w:sz w:val="20"/>
          <w:szCs w:val="20"/>
        </w:rPr>
        <w:t>ncı</w:t>
      </w:r>
      <w:r w:rsidRPr="00393A8A">
        <w:rPr>
          <w:color w:val="0F243E" w:themeColor="text2" w:themeShade="80"/>
          <w:sz w:val="20"/>
          <w:szCs w:val="20"/>
        </w:rPr>
        <w:t xml:space="preserve"> Paragrafının (b)(</w:t>
      </w:r>
      <w:r w:rsidRPr="00393A8A">
        <w:rPr>
          <w:rStyle w:val="spelle"/>
          <w:color w:val="0F243E" w:themeColor="text2" w:themeShade="80"/>
          <w:sz w:val="20"/>
          <w:szCs w:val="20"/>
        </w:rPr>
        <w:t>ii</w:t>
      </w:r>
      <w:r w:rsidRPr="00393A8A">
        <w:rPr>
          <w:color w:val="0F243E" w:themeColor="text2" w:themeShade="80"/>
          <w:sz w:val="20"/>
          <w:szCs w:val="20"/>
        </w:rPr>
        <w:t>) bendi, aşağıdaki şekilde değiştirilmiştir.</w:t>
      </w:r>
    </w:p>
    <w:p w:rsidR="00393A8A" w:rsidRPr="00393A8A" w:rsidRDefault="00393A8A" w:rsidP="00393A8A">
      <w:pPr>
        <w:pStyle w:val="3-normalyaz"/>
        <w:spacing w:before="0" w:beforeAutospacing="0" w:after="0" w:afterAutospacing="0" w:line="276" w:lineRule="auto"/>
        <w:rPr>
          <w:color w:val="0F243E" w:themeColor="text2" w:themeShade="80"/>
          <w:sz w:val="20"/>
          <w:szCs w:val="20"/>
        </w:rPr>
      </w:pPr>
      <w:r w:rsidRPr="00393A8A">
        <w:rPr>
          <w:color w:val="0F243E" w:themeColor="text2" w:themeShade="80"/>
          <w:sz w:val="20"/>
          <w:szCs w:val="20"/>
        </w:rPr>
        <w:tab/>
        <w:t>“16.(b)(</w:t>
      </w:r>
      <w:r w:rsidRPr="00393A8A">
        <w:rPr>
          <w:rStyle w:val="spelle"/>
          <w:color w:val="0F243E" w:themeColor="text2" w:themeShade="80"/>
          <w:sz w:val="20"/>
          <w:szCs w:val="20"/>
        </w:rPr>
        <w:t>ii</w:t>
      </w:r>
      <w:r w:rsidRPr="00393A8A">
        <w:rPr>
          <w:color w:val="0F243E" w:themeColor="text2" w:themeShade="80"/>
          <w:sz w:val="20"/>
          <w:szCs w:val="20"/>
        </w:rPr>
        <w:t xml:space="preserve">) Yalnızca ihraççı tarafından, ihraççının belirli sayıda </w:t>
      </w:r>
      <w:r w:rsidRPr="00393A8A">
        <w:rPr>
          <w:rStyle w:val="spelle"/>
          <w:color w:val="0F243E" w:themeColor="text2" w:themeShade="80"/>
          <w:sz w:val="20"/>
          <w:szCs w:val="20"/>
        </w:rPr>
        <w:t>özkaynağına</w:t>
      </w:r>
      <w:r w:rsidRPr="00393A8A">
        <w:rPr>
          <w:color w:val="0F243E" w:themeColor="text2" w:themeShade="80"/>
          <w:sz w:val="20"/>
          <w:szCs w:val="20"/>
        </w:rPr>
        <w:t xml:space="preserve"> dayalı finansal aracının, belirli bir nakit tutar ya da başka bir finansal varlık ile takas edilmesi suretiyle ödenecek bir türev araçtır. Bu nedenle, herhangi bir para birimi cinsinden belirli bir tutar karşılığında işletmenin </w:t>
      </w:r>
      <w:r w:rsidRPr="00393A8A">
        <w:rPr>
          <w:rStyle w:val="spelle"/>
          <w:color w:val="0F243E" w:themeColor="text2" w:themeShade="80"/>
          <w:sz w:val="20"/>
          <w:szCs w:val="20"/>
        </w:rPr>
        <w:t>özkaynağına</w:t>
      </w:r>
      <w:r w:rsidRPr="00393A8A">
        <w:rPr>
          <w:color w:val="0F243E" w:themeColor="text2" w:themeShade="80"/>
          <w:sz w:val="20"/>
          <w:szCs w:val="20"/>
        </w:rPr>
        <w:t xml:space="preserve"> dayalı finansal araçlarının elde edilmesine ilişkin hak, </w:t>
      </w:r>
      <w:r w:rsidRPr="00393A8A">
        <w:rPr>
          <w:rStyle w:val="grame"/>
          <w:color w:val="0F243E" w:themeColor="text2" w:themeShade="80"/>
          <w:sz w:val="20"/>
          <w:szCs w:val="20"/>
        </w:rPr>
        <w:t>opsiyon</w:t>
      </w:r>
      <w:r w:rsidRPr="00393A8A">
        <w:rPr>
          <w:color w:val="0F243E" w:themeColor="text2" w:themeShade="80"/>
          <w:sz w:val="20"/>
          <w:szCs w:val="20"/>
        </w:rPr>
        <w:t xml:space="preserve"> ya da teminatlar; işletmenin, bunları, </w:t>
      </w:r>
      <w:r w:rsidRPr="00393A8A">
        <w:rPr>
          <w:rStyle w:val="spelle"/>
          <w:color w:val="0F243E" w:themeColor="text2" w:themeShade="80"/>
          <w:sz w:val="20"/>
          <w:szCs w:val="20"/>
        </w:rPr>
        <w:t>özkaynağına</w:t>
      </w:r>
      <w:r w:rsidRPr="00393A8A">
        <w:rPr>
          <w:color w:val="0F243E" w:themeColor="text2" w:themeShade="80"/>
          <w:sz w:val="20"/>
          <w:szCs w:val="20"/>
        </w:rPr>
        <w:t xml:space="preserve"> dayalı ve aynı sınıftaki türev olmayan finansal araçlarını ellerinde bulunduranların tümüne oransal olarak sunması durumunda </w:t>
      </w:r>
      <w:r w:rsidRPr="00393A8A">
        <w:rPr>
          <w:rStyle w:val="spelle"/>
          <w:color w:val="0F243E" w:themeColor="text2" w:themeShade="80"/>
          <w:sz w:val="20"/>
          <w:szCs w:val="20"/>
        </w:rPr>
        <w:t>özkaynağa</w:t>
      </w:r>
      <w:r w:rsidRPr="00393A8A">
        <w:rPr>
          <w:color w:val="0F243E" w:themeColor="text2" w:themeShade="80"/>
          <w:sz w:val="20"/>
          <w:szCs w:val="20"/>
        </w:rPr>
        <w:t xml:space="preserve"> dayalı finansal araç niteliğindedir. Yine, bu nedenlerle, ihraççının </w:t>
      </w:r>
      <w:r w:rsidRPr="00393A8A">
        <w:rPr>
          <w:rStyle w:val="spelle"/>
          <w:color w:val="0F243E" w:themeColor="text2" w:themeShade="80"/>
          <w:sz w:val="20"/>
          <w:szCs w:val="20"/>
        </w:rPr>
        <w:t>özkaynağına</w:t>
      </w:r>
      <w:r w:rsidRPr="00393A8A">
        <w:rPr>
          <w:color w:val="0F243E" w:themeColor="text2" w:themeShade="80"/>
          <w:sz w:val="20"/>
          <w:szCs w:val="20"/>
        </w:rPr>
        <w:t xml:space="preserve"> dayalı finansal araçları; 16A - 16B veya 16C - 16D Paragraflarında belirtilen tüm özellikleri ve şartları haiz finansal araçları veya söz konusu araçların gelecekte yapılacak </w:t>
      </w:r>
      <w:r w:rsidRPr="00393A8A">
        <w:rPr>
          <w:rStyle w:val="grame"/>
          <w:color w:val="0F243E" w:themeColor="text2" w:themeShade="80"/>
          <w:sz w:val="20"/>
          <w:szCs w:val="20"/>
        </w:rPr>
        <w:t>tahsilatları</w:t>
      </w:r>
      <w:r w:rsidRPr="00393A8A">
        <w:rPr>
          <w:color w:val="0F243E" w:themeColor="text2" w:themeShade="80"/>
          <w:sz w:val="20"/>
          <w:szCs w:val="20"/>
        </w:rPr>
        <w:t xml:space="preserve"> ya da teslimatlarına ilişkin sözleşmeler olarak düzenlenen araçları içermez.”</w:t>
      </w:r>
    </w:p>
    <w:p w:rsidR="00393A8A" w:rsidRPr="00393A8A" w:rsidRDefault="00393A8A" w:rsidP="00393A8A">
      <w:pPr>
        <w:pStyle w:val="3-normalyaz"/>
        <w:spacing w:before="0" w:beforeAutospacing="0" w:after="0" w:afterAutospacing="0" w:line="276" w:lineRule="auto"/>
        <w:rPr>
          <w:color w:val="0F243E" w:themeColor="text2" w:themeShade="80"/>
          <w:sz w:val="20"/>
          <w:szCs w:val="20"/>
        </w:rPr>
      </w:pPr>
      <w:r w:rsidRPr="00393A8A">
        <w:rPr>
          <w:color w:val="0F243E" w:themeColor="text2" w:themeShade="80"/>
          <w:sz w:val="20"/>
          <w:szCs w:val="20"/>
        </w:rPr>
        <w:tab/>
      </w:r>
      <w:r w:rsidRPr="00393A8A">
        <w:rPr>
          <w:b/>
          <w:color w:val="0F243E" w:themeColor="text2" w:themeShade="80"/>
          <w:sz w:val="20"/>
          <w:szCs w:val="20"/>
        </w:rPr>
        <w:t>MADDE 3 –</w:t>
      </w:r>
      <w:r w:rsidRPr="00393A8A">
        <w:rPr>
          <w:color w:val="0F243E" w:themeColor="text2" w:themeShade="80"/>
          <w:sz w:val="20"/>
          <w:szCs w:val="20"/>
        </w:rPr>
        <w:t xml:space="preserve"> Aynı Standarda 97D Paragrafından sonra gelmek üzere, aşağıdaki şekilde 97E Paragrafı eklenmiştir.</w:t>
      </w:r>
    </w:p>
    <w:p w:rsidR="00393A8A" w:rsidRPr="00393A8A" w:rsidRDefault="00393A8A" w:rsidP="00393A8A">
      <w:pPr>
        <w:pStyle w:val="3-normalyaz"/>
        <w:spacing w:before="0" w:beforeAutospacing="0" w:after="0" w:afterAutospacing="0" w:line="276" w:lineRule="auto"/>
        <w:rPr>
          <w:color w:val="0F243E" w:themeColor="text2" w:themeShade="80"/>
          <w:sz w:val="20"/>
          <w:szCs w:val="20"/>
        </w:rPr>
      </w:pPr>
      <w:r w:rsidRPr="00393A8A">
        <w:rPr>
          <w:color w:val="0F243E" w:themeColor="text2" w:themeShade="80"/>
          <w:sz w:val="20"/>
          <w:szCs w:val="20"/>
        </w:rPr>
        <w:tab/>
        <w:t>“97E. “-””</w:t>
      </w:r>
    </w:p>
    <w:p w:rsidR="00393A8A" w:rsidRPr="00393A8A" w:rsidRDefault="00393A8A" w:rsidP="00393A8A">
      <w:pPr>
        <w:pStyle w:val="3-normalyaz"/>
        <w:spacing w:before="0" w:beforeAutospacing="0" w:after="0" w:afterAutospacing="0" w:line="276" w:lineRule="auto"/>
        <w:rPr>
          <w:color w:val="0F243E" w:themeColor="text2" w:themeShade="80"/>
          <w:sz w:val="20"/>
          <w:szCs w:val="20"/>
        </w:rPr>
      </w:pPr>
      <w:r w:rsidRPr="00393A8A">
        <w:rPr>
          <w:color w:val="0F243E" w:themeColor="text2" w:themeShade="80"/>
          <w:sz w:val="20"/>
          <w:szCs w:val="20"/>
        </w:rPr>
        <w:tab/>
      </w:r>
      <w:r w:rsidRPr="00393A8A">
        <w:rPr>
          <w:b/>
          <w:color w:val="0F243E" w:themeColor="text2" w:themeShade="80"/>
          <w:sz w:val="20"/>
          <w:szCs w:val="20"/>
        </w:rPr>
        <w:t>MADDE 4 –</w:t>
      </w:r>
      <w:r w:rsidRPr="00393A8A">
        <w:rPr>
          <w:color w:val="0F243E" w:themeColor="text2" w:themeShade="80"/>
          <w:sz w:val="20"/>
          <w:szCs w:val="20"/>
        </w:rPr>
        <w:t xml:space="preserve"> Bu Tebliğ </w:t>
      </w:r>
      <w:r w:rsidRPr="00393A8A">
        <w:rPr>
          <w:rStyle w:val="grame"/>
          <w:color w:val="0F243E" w:themeColor="text2" w:themeShade="80"/>
          <w:sz w:val="20"/>
          <w:szCs w:val="20"/>
        </w:rPr>
        <w:t>1/2/2010</w:t>
      </w:r>
      <w:r w:rsidRPr="00393A8A">
        <w:rPr>
          <w:color w:val="0F243E" w:themeColor="text2" w:themeShade="80"/>
          <w:sz w:val="20"/>
          <w:szCs w:val="20"/>
        </w:rPr>
        <w:t xml:space="preserve"> tarihinden sonra başlayan hesap dönemleri için geçerli olmak üzere, yayımlandığı tarihte yürürlüğe girer. İsteyen işletmeler, bu Tebliği </w:t>
      </w:r>
      <w:r w:rsidRPr="00393A8A">
        <w:rPr>
          <w:rStyle w:val="grame"/>
          <w:color w:val="0F243E" w:themeColor="text2" w:themeShade="80"/>
          <w:sz w:val="20"/>
          <w:szCs w:val="20"/>
        </w:rPr>
        <w:t>1/2/2010</w:t>
      </w:r>
      <w:r w:rsidRPr="00393A8A">
        <w:rPr>
          <w:color w:val="0F243E" w:themeColor="text2" w:themeShade="80"/>
          <w:sz w:val="20"/>
          <w:szCs w:val="20"/>
        </w:rPr>
        <w:t xml:space="preserve"> öncesinde başlayan hesap dönemlerine ilişkin finansal tablolarında uygulayabilirler. Bu durumda, anılan husus dipnotlarda açıklanır.</w:t>
      </w:r>
    </w:p>
    <w:p w:rsidR="00393A8A" w:rsidRPr="00393A8A" w:rsidRDefault="00393A8A" w:rsidP="00393A8A">
      <w:pPr>
        <w:pStyle w:val="3-normalyaz"/>
        <w:spacing w:before="0" w:beforeAutospacing="0" w:after="0" w:afterAutospacing="0" w:line="276" w:lineRule="auto"/>
        <w:rPr>
          <w:color w:val="0F243E" w:themeColor="text2" w:themeShade="80"/>
          <w:sz w:val="20"/>
          <w:szCs w:val="20"/>
        </w:rPr>
      </w:pPr>
      <w:r w:rsidRPr="00393A8A">
        <w:rPr>
          <w:color w:val="0F243E" w:themeColor="text2" w:themeShade="80"/>
          <w:sz w:val="20"/>
          <w:szCs w:val="20"/>
        </w:rPr>
        <w:tab/>
      </w:r>
      <w:r w:rsidRPr="00393A8A">
        <w:rPr>
          <w:b/>
          <w:color w:val="0F243E" w:themeColor="text2" w:themeShade="80"/>
          <w:sz w:val="20"/>
          <w:szCs w:val="20"/>
        </w:rPr>
        <w:t>MADDE 5 –</w:t>
      </w:r>
      <w:r w:rsidRPr="00393A8A">
        <w:rPr>
          <w:color w:val="0F243E" w:themeColor="text2" w:themeShade="80"/>
          <w:sz w:val="20"/>
          <w:szCs w:val="20"/>
        </w:rPr>
        <w:t xml:space="preserve"> Bu Tebliğ hükümlerini Türkiye Muhasebe Standartları Kurulu yürütür.</w:t>
      </w:r>
    </w:p>
    <w:p w:rsidR="00393A8A" w:rsidRPr="00393A8A" w:rsidRDefault="00393A8A" w:rsidP="00D51056">
      <w:pPr>
        <w:spacing w:after="0"/>
        <w:rPr>
          <w:rFonts w:ascii="Times New Roman" w:eastAsia="Times New Roman" w:hAnsi="Times New Roman" w:cs="Times New Roman"/>
          <w:b/>
          <w:color w:val="0F243E" w:themeColor="text2" w:themeShade="80"/>
          <w:sz w:val="20"/>
          <w:szCs w:val="20"/>
          <w:lang w:eastAsia="tr-TR"/>
        </w:rPr>
      </w:pPr>
    </w:p>
    <w:sectPr w:rsidR="00393A8A" w:rsidRPr="00393A8A"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581" w:rsidRDefault="00C52581" w:rsidP="00482127">
      <w:pPr>
        <w:spacing w:after="0" w:line="240" w:lineRule="auto"/>
      </w:pPr>
      <w:r>
        <w:separator/>
      </w:r>
    </w:p>
  </w:endnote>
  <w:endnote w:type="continuationSeparator" w:id="0">
    <w:p w:rsidR="00C52581" w:rsidRDefault="00C52581" w:rsidP="004821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581" w:rsidRDefault="00C52581" w:rsidP="00482127">
      <w:pPr>
        <w:spacing w:after="0" w:line="240" w:lineRule="auto"/>
      </w:pPr>
      <w:r>
        <w:separator/>
      </w:r>
    </w:p>
  </w:footnote>
  <w:footnote w:type="continuationSeparator" w:id="0">
    <w:p w:rsidR="00C52581" w:rsidRDefault="00C52581" w:rsidP="004821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08"/>
  <w:hyphenationZone w:val="425"/>
  <w:characterSpacingControl w:val="doNotCompress"/>
  <w:footnotePr>
    <w:footnote w:id="-1"/>
    <w:footnote w:id="0"/>
  </w:footnotePr>
  <w:endnotePr>
    <w:endnote w:id="-1"/>
    <w:endnote w:id="0"/>
  </w:endnotePr>
  <w:compat/>
  <w:rsids>
    <w:rsidRoot w:val="00D51056"/>
    <w:rsid w:val="00136084"/>
    <w:rsid w:val="001A1521"/>
    <w:rsid w:val="001E5D9A"/>
    <w:rsid w:val="002B61F5"/>
    <w:rsid w:val="002E489C"/>
    <w:rsid w:val="00386E2C"/>
    <w:rsid w:val="00393A8A"/>
    <w:rsid w:val="0040536B"/>
    <w:rsid w:val="00473F35"/>
    <w:rsid w:val="00482127"/>
    <w:rsid w:val="005E596E"/>
    <w:rsid w:val="0062142D"/>
    <w:rsid w:val="00627628"/>
    <w:rsid w:val="00660BAA"/>
    <w:rsid w:val="00662D8A"/>
    <w:rsid w:val="0068313A"/>
    <w:rsid w:val="006E3FA1"/>
    <w:rsid w:val="00717A51"/>
    <w:rsid w:val="007D0F86"/>
    <w:rsid w:val="007D22B7"/>
    <w:rsid w:val="00883289"/>
    <w:rsid w:val="008A1540"/>
    <w:rsid w:val="009623B8"/>
    <w:rsid w:val="009A3723"/>
    <w:rsid w:val="00A66C96"/>
    <w:rsid w:val="00AB7DC4"/>
    <w:rsid w:val="00B12943"/>
    <w:rsid w:val="00B170BF"/>
    <w:rsid w:val="00BC6727"/>
    <w:rsid w:val="00BC6BD9"/>
    <w:rsid w:val="00BD0B40"/>
    <w:rsid w:val="00C52581"/>
    <w:rsid w:val="00C74DA2"/>
    <w:rsid w:val="00D51056"/>
    <w:rsid w:val="00D669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qFormat/>
    <w:rsid w:val="00D6693E"/>
    <w:pPr>
      <w:keepNext/>
      <w:spacing w:after="0" w:line="240" w:lineRule="auto"/>
      <w:outlineLvl w:val="0"/>
    </w:pPr>
    <w:rPr>
      <w:rFonts w:ascii="Times New Roman" w:eastAsia="Times New Roman" w:hAnsi="Times New Roman" w:cs="Times New Roman"/>
      <w:b/>
      <w:bCs/>
      <w:sz w:val="24"/>
      <w:szCs w:val="24"/>
      <w:lang w:eastAsia="tr-TR"/>
    </w:rPr>
  </w:style>
  <w:style w:type="paragraph" w:styleId="Balk2">
    <w:name w:val="heading 2"/>
    <w:basedOn w:val="Normal"/>
    <w:next w:val="Normal"/>
    <w:link w:val="Balk2Char"/>
    <w:qFormat/>
    <w:rsid w:val="00D6693E"/>
    <w:pPr>
      <w:keepNext/>
      <w:spacing w:after="0" w:line="240" w:lineRule="auto"/>
      <w:jc w:val="center"/>
      <w:outlineLvl w:val="1"/>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51056"/>
    <w:rPr>
      <w:strike w:val="0"/>
      <w:dstrike w:val="0"/>
      <w:color w:val="0000FF"/>
      <w:u w:val="none"/>
      <w:effect w:val="none"/>
    </w:rPr>
  </w:style>
  <w:style w:type="paragraph" w:styleId="NormalWeb">
    <w:name w:val="Normal (Web)"/>
    <w:basedOn w:val="Normal"/>
    <w:uiPriority w:val="99"/>
    <w:semiHidden/>
    <w:unhideWhenUsed/>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D51056"/>
  </w:style>
  <w:style w:type="character" w:customStyle="1" w:styleId="spelle">
    <w:name w:val="spelle"/>
    <w:basedOn w:val="VarsaylanParagrafYazTipi"/>
    <w:rsid w:val="00D51056"/>
  </w:style>
  <w:style w:type="paragraph" w:customStyle="1" w:styleId="1-baslk">
    <w:name w:val="1-baslk"/>
    <w:basedOn w:val="Normal"/>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B12943"/>
  </w:style>
  <w:style w:type="paragraph" w:styleId="DipnotMetni">
    <w:name w:val="footnote text"/>
    <w:basedOn w:val="Normal"/>
    <w:link w:val="DipnotMetniChar"/>
    <w:uiPriority w:val="99"/>
    <w:semiHidden/>
    <w:unhideWhenUsed/>
    <w:rsid w:val="00B1294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B12943"/>
    <w:rPr>
      <w:rFonts w:ascii="Times New Roman" w:eastAsia="Times New Roman" w:hAnsi="Times New Roman" w:cs="Times New Roman"/>
      <w:color w:val="000000"/>
      <w:sz w:val="24"/>
      <w:szCs w:val="24"/>
      <w:lang w:eastAsia="tr-TR"/>
    </w:rPr>
  </w:style>
  <w:style w:type="character" w:styleId="DipnotBavurusu">
    <w:name w:val="footnote reference"/>
    <w:basedOn w:val="VarsaylanParagrafYazTipi"/>
    <w:uiPriority w:val="99"/>
    <w:semiHidden/>
    <w:unhideWhenUsed/>
    <w:rsid w:val="00B12943"/>
  </w:style>
  <w:style w:type="character" w:customStyle="1" w:styleId="Balk1Char">
    <w:name w:val="Başlık 1 Char"/>
    <w:basedOn w:val="VarsaylanParagrafYazTipi"/>
    <w:link w:val="Balk1"/>
    <w:rsid w:val="00D6693E"/>
    <w:rPr>
      <w:rFonts w:ascii="Times New Roman" w:eastAsia="Times New Roman" w:hAnsi="Times New Roman" w:cs="Times New Roman"/>
      <w:b/>
      <w:bCs/>
      <w:sz w:val="24"/>
      <w:szCs w:val="24"/>
      <w:lang w:eastAsia="tr-TR"/>
    </w:rPr>
  </w:style>
  <w:style w:type="character" w:customStyle="1" w:styleId="Balk2Char">
    <w:name w:val="Başlık 2 Char"/>
    <w:basedOn w:val="VarsaylanParagrafYazTipi"/>
    <w:link w:val="Balk2"/>
    <w:rsid w:val="00D6693E"/>
    <w:rPr>
      <w:rFonts w:ascii="Times New Roman" w:eastAsia="Times New Roman" w:hAnsi="Times New Roman" w:cs="Times New Roman"/>
      <w:b/>
      <w:bCs/>
      <w:sz w:val="24"/>
      <w:szCs w:val="24"/>
      <w:lang w:eastAsia="tr-TR"/>
    </w:rPr>
  </w:style>
  <w:style w:type="paragraph" w:styleId="GvdeMetni">
    <w:name w:val="Body Text"/>
    <w:basedOn w:val="Normal"/>
    <w:link w:val="GvdeMetniChar"/>
    <w:rsid w:val="00D6693E"/>
    <w:pPr>
      <w:spacing w:after="0" w:line="240" w:lineRule="auto"/>
      <w:jc w:val="both"/>
    </w:pPr>
    <w:rPr>
      <w:rFonts w:ascii="Arial" w:eastAsia="Times New Roman" w:hAnsi="Arial" w:cs="Arial"/>
      <w:color w:val="000000"/>
      <w:sz w:val="20"/>
      <w:szCs w:val="24"/>
      <w:lang w:eastAsia="tr-TR"/>
    </w:rPr>
  </w:style>
  <w:style w:type="character" w:customStyle="1" w:styleId="GvdeMetniChar">
    <w:name w:val="Gövde Metni Char"/>
    <w:basedOn w:val="VarsaylanParagrafYazTipi"/>
    <w:link w:val="GvdeMetni"/>
    <w:rsid w:val="00D6693E"/>
    <w:rPr>
      <w:rFonts w:ascii="Arial" w:eastAsia="Times New Roman" w:hAnsi="Arial" w:cs="Arial"/>
      <w:color w:val="000000"/>
      <w:sz w:val="20"/>
      <w:szCs w:val="24"/>
      <w:lang w:eastAsia="tr-TR"/>
    </w:rPr>
  </w:style>
  <w:style w:type="paragraph" w:styleId="BalonMetni">
    <w:name w:val="Balloon Text"/>
    <w:basedOn w:val="Normal"/>
    <w:link w:val="BalonMetniChar"/>
    <w:uiPriority w:val="99"/>
    <w:semiHidden/>
    <w:unhideWhenUsed/>
    <w:rsid w:val="00D6693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693E"/>
    <w:rPr>
      <w:rFonts w:ascii="Tahoma" w:hAnsi="Tahoma" w:cs="Tahoma"/>
      <w:sz w:val="16"/>
      <w:szCs w:val="16"/>
    </w:rPr>
  </w:style>
  <w:style w:type="paragraph" w:customStyle="1" w:styleId="asbnormal">
    <w:name w:val="ıasbnormal"/>
    <w:basedOn w:val="Normal"/>
    <w:rsid w:val="004821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asbprinciple">
    <w:name w:val="ıasbprinciple"/>
    <w:basedOn w:val="Normal"/>
    <w:rsid w:val="004821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1635133157">
      <w:bodyDiv w:val="1"/>
      <w:marLeft w:val="0"/>
      <w:marRight w:val="0"/>
      <w:marTop w:val="0"/>
      <w:marBottom w:val="0"/>
      <w:divBdr>
        <w:top w:val="none" w:sz="0" w:space="0" w:color="auto"/>
        <w:left w:val="none" w:sz="0" w:space="0" w:color="auto"/>
        <w:bottom w:val="none" w:sz="0" w:space="0" w:color="auto"/>
        <w:right w:val="none" w:sz="0" w:space="0" w:color="auto"/>
      </w:divBdr>
      <w:divsChild>
        <w:div w:id="157887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489</Words>
  <Characters>2790</Characters>
  <Application>Microsoft Office Word</Application>
  <DocSecurity>0</DocSecurity>
  <Lines>23</Lines>
  <Paragraphs>6</Paragraphs>
  <ScaleCrop>false</ScaleCrop>
  <Company>TURMOB</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cp:revision>
  <dcterms:created xsi:type="dcterms:W3CDTF">2010-01-04T06:30:00Z</dcterms:created>
  <dcterms:modified xsi:type="dcterms:W3CDTF">2010-01-04T09:17:00Z</dcterms:modified>
</cp:coreProperties>
</file>