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15F45" w:rsidRDefault="00627628" w:rsidP="00E2215E">
      <w:pPr>
        <w:spacing w:after="0" w:line="240" w:lineRule="auto"/>
        <w:rPr>
          <w:rFonts w:ascii="Times New Roman" w:hAnsi="Times New Roman" w:cs="Times New Roman"/>
          <w:color w:val="0F243E" w:themeColor="text2" w:themeShade="80"/>
        </w:rPr>
      </w:pPr>
    </w:p>
    <w:p w:rsidR="007C446A" w:rsidRPr="00615F45" w:rsidRDefault="00615F45" w:rsidP="00E2215E">
      <w:pPr>
        <w:spacing w:after="0" w:line="240" w:lineRule="auto"/>
        <w:rPr>
          <w:rFonts w:ascii="Times New Roman" w:hAnsi="Times New Roman" w:cs="Times New Roman"/>
          <w:b/>
          <w:color w:val="0F243E" w:themeColor="text2" w:themeShade="80"/>
          <w:u w:val="single"/>
        </w:rPr>
      </w:pPr>
      <w:r w:rsidRPr="00615F45">
        <w:rPr>
          <w:rFonts w:ascii="Times New Roman" w:hAnsi="Times New Roman" w:cs="Times New Roman"/>
          <w:b/>
          <w:color w:val="0F243E" w:themeColor="text2" w:themeShade="80"/>
          <w:u w:val="single"/>
        </w:rPr>
        <w:t>10</w:t>
      </w:r>
      <w:r w:rsidR="007C446A" w:rsidRPr="00615F45">
        <w:rPr>
          <w:rFonts w:ascii="Times New Roman" w:hAnsi="Times New Roman" w:cs="Times New Roman"/>
          <w:b/>
          <w:color w:val="0F243E" w:themeColor="text2" w:themeShade="80"/>
          <w:u w:val="single"/>
        </w:rPr>
        <w:t>.03,</w:t>
      </w:r>
      <w:r w:rsidRPr="00615F45">
        <w:rPr>
          <w:rFonts w:ascii="Times New Roman" w:hAnsi="Times New Roman" w:cs="Times New Roman"/>
          <w:b/>
          <w:color w:val="0F243E" w:themeColor="text2" w:themeShade="80"/>
          <w:u w:val="single"/>
        </w:rPr>
        <w:t>2010, Salı</w:t>
      </w:r>
      <w:r w:rsidRPr="00615F45">
        <w:rPr>
          <w:rFonts w:ascii="Times New Roman" w:hAnsi="Times New Roman" w:cs="Times New Roman"/>
          <w:b/>
          <w:color w:val="0F243E" w:themeColor="text2" w:themeShade="80"/>
          <w:u w:val="single"/>
        </w:rPr>
        <w:tab/>
      </w:r>
      <w:r w:rsidRPr="00615F45">
        <w:rPr>
          <w:rFonts w:ascii="Times New Roman" w:hAnsi="Times New Roman" w:cs="Times New Roman"/>
          <w:b/>
          <w:color w:val="0F243E" w:themeColor="text2" w:themeShade="80"/>
          <w:u w:val="single"/>
        </w:rPr>
        <w:tab/>
      </w:r>
      <w:r w:rsidRPr="00615F45">
        <w:rPr>
          <w:rFonts w:ascii="Times New Roman" w:hAnsi="Times New Roman" w:cs="Times New Roman"/>
          <w:b/>
          <w:color w:val="0F243E" w:themeColor="text2" w:themeShade="80"/>
          <w:u w:val="single"/>
        </w:rPr>
        <w:tab/>
      </w:r>
      <w:r w:rsidRPr="00615F45">
        <w:rPr>
          <w:rFonts w:ascii="Times New Roman" w:hAnsi="Times New Roman" w:cs="Times New Roman"/>
          <w:b/>
          <w:color w:val="0F243E" w:themeColor="text2" w:themeShade="80"/>
          <w:u w:val="single"/>
        </w:rPr>
        <w:tab/>
      </w:r>
      <w:r w:rsidRPr="00615F45">
        <w:rPr>
          <w:rFonts w:ascii="Times New Roman" w:hAnsi="Times New Roman" w:cs="Times New Roman"/>
          <w:b/>
          <w:color w:val="0F243E" w:themeColor="text2" w:themeShade="80"/>
          <w:u w:val="single"/>
        </w:rPr>
        <w:tab/>
      </w:r>
      <w:r w:rsidRPr="00615F45">
        <w:rPr>
          <w:rFonts w:ascii="Times New Roman" w:hAnsi="Times New Roman" w:cs="Times New Roman"/>
          <w:b/>
          <w:color w:val="0F243E" w:themeColor="text2" w:themeShade="80"/>
          <w:u w:val="single"/>
        </w:rPr>
        <w:tab/>
      </w:r>
      <w:r w:rsidRPr="00615F45">
        <w:rPr>
          <w:rFonts w:ascii="Times New Roman" w:hAnsi="Times New Roman" w:cs="Times New Roman"/>
          <w:b/>
          <w:color w:val="0F243E" w:themeColor="text2" w:themeShade="80"/>
          <w:u w:val="single"/>
        </w:rPr>
        <w:tab/>
      </w:r>
      <w:r w:rsidRPr="00615F45">
        <w:rPr>
          <w:rFonts w:ascii="Times New Roman" w:hAnsi="Times New Roman" w:cs="Times New Roman"/>
          <w:b/>
          <w:color w:val="0F243E" w:themeColor="text2" w:themeShade="80"/>
          <w:u w:val="single"/>
        </w:rPr>
        <w:tab/>
      </w:r>
      <w:r w:rsidRPr="00615F45">
        <w:rPr>
          <w:rFonts w:ascii="Times New Roman" w:hAnsi="Times New Roman" w:cs="Times New Roman"/>
          <w:b/>
          <w:color w:val="0F243E" w:themeColor="text2" w:themeShade="80"/>
          <w:u w:val="single"/>
        </w:rPr>
        <w:tab/>
      </w:r>
      <w:proofErr w:type="gramStart"/>
      <w:r w:rsidRPr="00615F45">
        <w:rPr>
          <w:rFonts w:ascii="Times New Roman" w:hAnsi="Times New Roman" w:cs="Times New Roman"/>
          <w:b/>
          <w:color w:val="0F243E" w:themeColor="text2" w:themeShade="80"/>
          <w:u w:val="single"/>
        </w:rPr>
        <w:t>Sayı : 27517</w:t>
      </w:r>
      <w:proofErr w:type="gramEnd"/>
    </w:p>
    <w:p w:rsidR="00262A97" w:rsidRPr="00615F45" w:rsidRDefault="00262A97" w:rsidP="00E2215E">
      <w:pPr>
        <w:spacing w:after="0" w:line="240" w:lineRule="auto"/>
        <w:rPr>
          <w:rFonts w:ascii="Times New Roman" w:hAnsi="Times New Roman" w:cs="Times New Roman"/>
          <w:b/>
          <w:color w:val="0F243E" w:themeColor="text2" w:themeShade="80"/>
          <w:u w:val="single"/>
        </w:rPr>
      </w:pPr>
    </w:p>
    <w:p w:rsidR="0083768A" w:rsidRPr="00615F45" w:rsidRDefault="0083768A" w:rsidP="0083768A">
      <w:pPr>
        <w:spacing w:after="0"/>
        <w:jc w:val="both"/>
        <w:rPr>
          <w:rFonts w:ascii="Times New Roman" w:eastAsia="Times New Roman" w:hAnsi="Times New Roman" w:cs="Times New Roman"/>
          <w:color w:val="0F243E" w:themeColor="text2" w:themeShade="80"/>
          <w:lang w:eastAsia="tr-TR"/>
        </w:rPr>
      </w:pPr>
      <w:r w:rsidRPr="00615F45">
        <w:rPr>
          <w:rFonts w:ascii="Times New Roman" w:eastAsia="Times New Roman" w:hAnsi="Times New Roman" w:cs="Times New Roman"/>
          <w:color w:val="0F243E" w:themeColor="text2" w:themeShade="80"/>
          <w:lang w:eastAsia="tr-TR"/>
        </w:rPr>
        <w:t> </w:t>
      </w:r>
    </w:p>
    <w:p w:rsidR="00615F45" w:rsidRPr="00615F45" w:rsidRDefault="00615F45" w:rsidP="00615F45">
      <w:pPr>
        <w:pStyle w:val="NormalWeb"/>
        <w:spacing w:before="0" w:beforeAutospacing="0" w:after="0" w:afterAutospacing="0" w:line="276" w:lineRule="auto"/>
        <w:rPr>
          <w:b/>
          <w:color w:val="0F243E" w:themeColor="text2" w:themeShade="80"/>
          <w:sz w:val="22"/>
          <w:szCs w:val="22"/>
        </w:rPr>
      </w:pPr>
      <w:r w:rsidRPr="00615F45">
        <w:rPr>
          <w:b/>
          <w:color w:val="0F243E" w:themeColor="text2" w:themeShade="80"/>
          <w:sz w:val="22"/>
          <w:szCs w:val="22"/>
        </w:rPr>
        <w:t>Sağlık Bakanlığından:</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w:t>
      </w:r>
    </w:p>
    <w:p w:rsidR="00615F45" w:rsidRPr="00615F45" w:rsidRDefault="00615F45" w:rsidP="00615F45">
      <w:pPr>
        <w:pStyle w:val="2-ortabaslk"/>
        <w:spacing w:before="0" w:beforeAutospacing="0" w:after="0" w:afterAutospacing="0" w:line="276" w:lineRule="auto"/>
        <w:jc w:val="center"/>
        <w:rPr>
          <w:color w:val="0F243E" w:themeColor="text2" w:themeShade="80"/>
          <w:sz w:val="22"/>
          <w:szCs w:val="22"/>
        </w:rPr>
      </w:pPr>
      <w:r w:rsidRPr="00615F45">
        <w:rPr>
          <w:b/>
          <w:bCs/>
          <w:color w:val="0F243E" w:themeColor="text2" w:themeShade="80"/>
          <w:sz w:val="22"/>
          <w:szCs w:val="22"/>
        </w:rPr>
        <w:t>AYAKTA TEŞHİS VE TEDAVİ YAPILAN ÖZEL SAĞLIK KURULUŞLARI</w:t>
      </w:r>
    </w:p>
    <w:p w:rsidR="00615F45" w:rsidRPr="00615F45" w:rsidRDefault="00615F45" w:rsidP="00615F45">
      <w:pPr>
        <w:pStyle w:val="2-ortabaslk"/>
        <w:spacing w:before="0" w:beforeAutospacing="0" w:after="0" w:afterAutospacing="0" w:line="276" w:lineRule="auto"/>
        <w:jc w:val="center"/>
        <w:rPr>
          <w:color w:val="0F243E" w:themeColor="text2" w:themeShade="80"/>
          <w:sz w:val="22"/>
          <w:szCs w:val="22"/>
        </w:rPr>
      </w:pPr>
      <w:r w:rsidRPr="00615F45">
        <w:rPr>
          <w:b/>
          <w:bCs/>
          <w:color w:val="0F243E" w:themeColor="text2" w:themeShade="80"/>
          <w:sz w:val="22"/>
          <w:szCs w:val="22"/>
        </w:rPr>
        <w:t>HAKKINDA YÖNETMELİKTE DEĞİŞİKLİK YAPILMASINA</w:t>
      </w:r>
    </w:p>
    <w:p w:rsidR="00615F45" w:rsidRPr="00615F45" w:rsidRDefault="00615F45" w:rsidP="00615F45">
      <w:pPr>
        <w:pStyle w:val="2-ortabaslk"/>
        <w:spacing w:before="0" w:beforeAutospacing="0" w:after="0" w:afterAutospacing="0" w:line="276" w:lineRule="auto"/>
        <w:jc w:val="center"/>
        <w:rPr>
          <w:color w:val="0F243E" w:themeColor="text2" w:themeShade="80"/>
          <w:sz w:val="22"/>
          <w:szCs w:val="22"/>
        </w:rPr>
      </w:pPr>
      <w:r w:rsidRPr="00615F45">
        <w:rPr>
          <w:b/>
          <w:bCs/>
          <w:color w:val="0F243E" w:themeColor="text2" w:themeShade="80"/>
          <w:sz w:val="22"/>
          <w:szCs w:val="22"/>
        </w:rPr>
        <w:t xml:space="preserve">DAİR YÖNETMELİK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b/>
          <w:color w:val="0F243E" w:themeColor="text2" w:themeShade="80"/>
          <w:sz w:val="22"/>
          <w:szCs w:val="22"/>
        </w:rPr>
        <w:t>MADDE 1 –</w:t>
      </w:r>
      <w:r w:rsidRPr="00615F45">
        <w:rPr>
          <w:color w:val="0F243E" w:themeColor="text2" w:themeShade="80"/>
          <w:sz w:val="22"/>
          <w:szCs w:val="22"/>
        </w:rPr>
        <w:t xml:space="preserve"> </w:t>
      </w:r>
      <w:proofErr w:type="gramStart"/>
      <w:r w:rsidRPr="00615F45">
        <w:rPr>
          <w:color w:val="0F243E" w:themeColor="text2" w:themeShade="80"/>
          <w:sz w:val="22"/>
          <w:szCs w:val="22"/>
        </w:rPr>
        <w:t>15/2/2008</w:t>
      </w:r>
      <w:proofErr w:type="gramEnd"/>
      <w:r w:rsidRPr="00615F45">
        <w:rPr>
          <w:color w:val="0F243E" w:themeColor="text2" w:themeShade="80"/>
          <w:sz w:val="22"/>
          <w:szCs w:val="22"/>
        </w:rPr>
        <w:t xml:space="preserve"> tarihli ve 26788 sayılı Resmî Gazete’de yayımlanan Ayakta Teşhis ve Tedavi Yapılan Özel Sağlık Kuruluşları Hakkında Yönetmeliğin 12/A maddesinin birinci fıkrasının (b) bendinin birinci cümlesi aşağıdaki şekilde değiştirilmiştir.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“Poliklinik muayene odası: Tıp merkezlerinde, ruhsatında kayıtlı her klinik uzmanlık dalı için ayrı oluşturulacak; 8 m</w:t>
      </w:r>
      <w:r w:rsidRPr="00615F45">
        <w:rPr>
          <w:color w:val="0F243E" w:themeColor="text2" w:themeShade="80"/>
          <w:position w:val="6"/>
          <w:sz w:val="22"/>
          <w:szCs w:val="22"/>
        </w:rPr>
        <w:t>2</w:t>
      </w:r>
      <w:r w:rsidRPr="00615F45">
        <w:rPr>
          <w:color w:val="0F243E" w:themeColor="text2" w:themeShade="80"/>
          <w:sz w:val="22"/>
          <w:szCs w:val="22"/>
        </w:rPr>
        <w:t xml:space="preserve"> hekim çalışma alanı ve 8 m</w:t>
      </w:r>
      <w:r w:rsidRPr="00615F45">
        <w:rPr>
          <w:color w:val="0F243E" w:themeColor="text2" w:themeShade="80"/>
          <w:position w:val="6"/>
          <w:sz w:val="22"/>
          <w:szCs w:val="22"/>
        </w:rPr>
        <w:t>2</w:t>
      </w:r>
      <w:r w:rsidRPr="00615F45">
        <w:rPr>
          <w:color w:val="0F243E" w:themeColor="text2" w:themeShade="80"/>
          <w:sz w:val="22"/>
          <w:szCs w:val="22"/>
        </w:rPr>
        <w:t xml:space="preserve"> hasta muayene alanı olmak üzere en az 16 m</w:t>
      </w:r>
      <w:r w:rsidRPr="00615F45">
        <w:rPr>
          <w:color w:val="0F243E" w:themeColor="text2" w:themeShade="80"/>
          <w:position w:val="6"/>
          <w:sz w:val="22"/>
          <w:szCs w:val="22"/>
        </w:rPr>
        <w:t>2</w:t>
      </w:r>
      <w:r w:rsidRPr="00615F45">
        <w:rPr>
          <w:color w:val="0F243E" w:themeColor="text2" w:themeShade="80"/>
          <w:sz w:val="22"/>
          <w:szCs w:val="22"/>
        </w:rPr>
        <w:t xml:space="preserve"> genişlikte, yeterli şekilde aydınlatılan ve havalandırılan poliklinik muayene odası ayrılır.”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b/>
          <w:color w:val="0F243E" w:themeColor="text2" w:themeShade="80"/>
          <w:sz w:val="22"/>
          <w:szCs w:val="22"/>
        </w:rPr>
        <w:t>MADDE 2 –</w:t>
      </w:r>
      <w:r w:rsidRPr="00615F45">
        <w:rPr>
          <w:color w:val="0F243E" w:themeColor="text2" w:themeShade="80"/>
          <w:sz w:val="22"/>
          <w:szCs w:val="22"/>
        </w:rPr>
        <w:t xml:space="preserve"> Aynı Yönetmeliğin 12/B maddesinin birinci fıkrasının (a) bendi aşağıdaki şekilde değiştirilmiştir.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“a) Katlar arası sedye ile hasta taşınmasına olanak sağlayacak şekilde merdivenin </w:t>
      </w:r>
      <w:proofErr w:type="spellStart"/>
      <w:r w:rsidRPr="00615F45">
        <w:rPr>
          <w:color w:val="0F243E" w:themeColor="text2" w:themeShade="80"/>
          <w:sz w:val="22"/>
          <w:szCs w:val="22"/>
        </w:rPr>
        <w:t>rıht</w:t>
      </w:r>
      <w:proofErr w:type="spellEnd"/>
      <w:r w:rsidRPr="00615F45">
        <w:rPr>
          <w:color w:val="0F243E" w:themeColor="text2" w:themeShade="80"/>
          <w:sz w:val="22"/>
          <w:szCs w:val="22"/>
        </w:rPr>
        <w:t xml:space="preserve"> yüksekliği 16-18 cm. basamak genişliği 30-33 cm. </w:t>
      </w:r>
      <w:proofErr w:type="spellStart"/>
      <w:r w:rsidRPr="00615F45">
        <w:rPr>
          <w:color w:val="0F243E" w:themeColor="text2" w:themeShade="80"/>
          <w:sz w:val="22"/>
          <w:szCs w:val="22"/>
        </w:rPr>
        <w:t>yi</w:t>
      </w:r>
      <w:proofErr w:type="spellEnd"/>
      <w:r w:rsidRPr="00615F45">
        <w:rPr>
          <w:color w:val="0F243E" w:themeColor="text2" w:themeShade="80"/>
          <w:sz w:val="22"/>
          <w:szCs w:val="22"/>
        </w:rPr>
        <w:t xml:space="preserve"> sağlamak kaydıyla merdiven ve sahanlık ölçüsü en az 1,30 m. olmalıdır. Merdiven </w:t>
      </w:r>
      <w:proofErr w:type="spellStart"/>
      <w:r w:rsidRPr="00615F45">
        <w:rPr>
          <w:color w:val="0F243E" w:themeColor="text2" w:themeShade="80"/>
          <w:sz w:val="22"/>
          <w:szCs w:val="22"/>
        </w:rPr>
        <w:t>rıhtları</w:t>
      </w:r>
      <w:proofErr w:type="spellEnd"/>
      <w:r w:rsidRPr="00615F45">
        <w:rPr>
          <w:color w:val="0F243E" w:themeColor="text2" w:themeShade="80"/>
          <w:sz w:val="22"/>
          <w:szCs w:val="22"/>
        </w:rPr>
        <w:t xml:space="preserve"> özürlülerin çıkışını zorlaştırmayacak şekilde düz bir satıhla bitirilmeli, merkez girişine özürlüler için uygun eğimli rampa yapılmalıdır.”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b/>
          <w:color w:val="0F243E" w:themeColor="text2" w:themeShade="80"/>
          <w:sz w:val="22"/>
          <w:szCs w:val="22"/>
        </w:rPr>
        <w:t>MADDE 3 –</w:t>
      </w:r>
      <w:r w:rsidRPr="00615F45">
        <w:rPr>
          <w:color w:val="0F243E" w:themeColor="text2" w:themeShade="80"/>
          <w:sz w:val="22"/>
          <w:szCs w:val="22"/>
        </w:rPr>
        <w:t xml:space="preserve"> Aynı Yönetmeliğe aşağıdaki 12/Ç maddesi eklenmiştir.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b/>
          <w:color w:val="0F243E" w:themeColor="text2" w:themeShade="80"/>
          <w:sz w:val="22"/>
          <w:szCs w:val="22"/>
        </w:rPr>
        <w:tab/>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b/>
          <w:color w:val="0F243E" w:themeColor="text2" w:themeShade="80"/>
          <w:sz w:val="22"/>
          <w:szCs w:val="22"/>
        </w:rPr>
        <w:t>“Polikliniklerde bulunması zorunlu tıbbi hizmet birimleri ve diğer alanlar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b/>
          <w:color w:val="0F243E" w:themeColor="text2" w:themeShade="80"/>
          <w:sz w:val="22"/>
          <w:szCs w:val="22"/>
        </w:rPr>
        <w:tab/>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b/>
          <w:color w:val="0F243E" w:themeColor="text2" w:themeShade="80"/>
          <w:sz w:val="22"/>
          <w:szCs w:val="22"/>
        </w:rPr>
        <w:t>MADDE 12/Ç –</w:t>
      </w:r>
      <w:r w:rsidRPr="00615F45">
        <w:rPr>
          <w:color w:val="0F243E" w:themeColor="text2" w:themeShade="80"/>
          <w:sz w:val="22"/>
          <w:szCs w:val="22"/>
        </w:rPr>
        <w:t xml:space="preserve"> (1) Polikliniklerde bulunması zorunlu asgarî tıbbi hizmet birimleri, bu birimlerin ve diğer mekânların fizik özellikleri şu şekildedir: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 Hasta bekleme salonu: Bulunduğu kattaki her muayene odası başına en az 4 m</w:t>
      </w:r>
      <w:r w:rsidRPr="00615F45">
        <w:rPr>
          <w:color w:val="0F243E" w:themeColor="text2" w:themeShade="80"/>
          <w:position w:val="6"/>
          <w:sz w:val="22"/>
          <w:szCs w:val="22"/>
        </w:rPr>
        <w:t xml:space="preserve">2 </w:t>
      </w:r>
      <w:r w:rsidRPr="00615F45">
        <w:rPr>
          <w:color w:val="0F243E" w:themeColor="text2" w:themeShade="80"/>
          <w:sz w:val="22"/>
          <w:szCs w:val="22"/>
        </w:rPr>
        <w:t>alan düşecek şekilde bekleme salonları olmalıdır. Orta koridor bekleme amaçlı kullanılacak ise genişliği asgari üç metre olmalıdır. Bu durumda bekleme için tahsis edilmiş bir metrelik bekleme alanı, toplam bekleme alanı hesabından düşülerek diğer bekleme alanlarının değerlendirmesi yapılır. Bekleme salonları ile bağlantılı bay-bayan tuvaleti olmalıdır.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b) Hasta muayene odası: Hizmet verilen her klinik uzmanlık dalı ve genel pratisyenlik için ayrı oluşturulacak; 8 m</w:t>
      </w:r>
      <w:r w:rsidRPr="00615F45">
        <w:rPr>
          <w:color w:val="0F243E" w:themeColor="text2" w:themeShade="80"/>
          <w:position w:val="6"/>
          <w:sz w:val="22"/>
          <w:szCs w:val="22"/>
        </w:rPr>
        <w:t>2</w:t>
      </w:r>
      <w:r w:rsidRPr="00615F45">
        <w:rPr>
          <w:color w:val="0F243E" w:themeColor="text2" w:themeShade="80"/>
          <w:sz w:val="22"/>
          <w:szCs w:val="22"/>
        </w:rPr>
        <w:t xml:space="preserve"> hekim çalışma alanı ve 8 m</w:t>
      </w:r>
      <w:r w:rsidRPr="00615F45">
        <w:rPr>
          <w:color w:val="0F243E" w:themeColor="text2" w:themeShade="80"/>
          <w:position w:val="6"/>
          <w:sz w:val="22"/>
          <w:szCs w:val="22"/>
        </w:rPr>
        <w:t>2</w:t>
      </w:r>
      <w:r w:rsidRPr="00615F45">
        <w:rPr>
          <w:color w:val="0F243E" w:themeColor="text2" w:themeShade="80"/>
          <w:sz w:val="22"/>
          <w:szCs w:val="22"/>
        </w:rPr>
        <w:t xml:space="preserve"> hasta muayene alanı olmak üzere en az 16 m</w:t>
      </w:r>
      <w:r w:rsidRPr="00615F45">
        <w:rPr>
          <w:color w:val="0F243E" w:themeColor="text2" w:themeShade="80"/>
          <w:position w:val="6"/>
          <w:sz w:val="22"/>
          <w:szCs w:val="22"/>
        </w:rPr>
        <w:t xml:space="preserve">2 </w:t>
      </w:r>
      <w:r w:rsidRPr="00615F45">
        <w:rPr>
          <w:color w:val="0F243E" w:themeColor="text2" w:themeShade="80"/>
          <w:sz w:val="22"/>
          <w:szCs w:val="22"/>
        </w:rPr>
        <w:t>genişlikte, yeterli şekilde aydınlatılan ve havalandırılan hasta muayene odası ayrılır. Hasta muayene odalarında uzmanlık dalına uygun araç, gereç ve donanım ile hasta muayene masası, soyunma bölümü ve lavabo bulunur. Klinik uzmanlık dalları dışındaki dallarda kadrolu veya kısmi zamanlı çalışan uzman tabip ve tabiplere yeterli sayıda ve genişlikte, yeterli şekilde aydınlatılan ve havalandırılan çalışma odaları ayrılabilir.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c) Acil muayene odası: Asgarî 16 m</w:t>
      </w:r>
      <w:r w:rsidRPr="00615F45">
        <w:rPr>
          <w:color w:val="0F243E" w:themeColor="text2" w:themeShade="80"/>
          <w:position w:val="6"/>
          <w:sz w:val="22"/>
          <w:szCs w:val="22"/>
        </w:rPr>
        <w:t>2</w:t>
      </w:r>
      <w:r w:rsidRPr="00615F45">
        <w:rPr>
          <w:color w:val="0F243E" w:themeColor="text2" w:themeShade="80"/>
          <w:sz w:val="22"/>
          <w:szCs w:val="22"/>
        </w:rPr>
        <w:t xml:space="preserve"> genişlikte, acil müdahale için gerekli olan asgarî tıbbî malzeme, donanım ve ilaçların bulunduğu ve başkaca bir bölüm tahsis edilmemiş ise </w:t>
      </w:r>
      <w:proofErr w:type="gramStart"/>
      <w:r w:rsidRPr="00615F45">
        <w:rPr>
          <w:color w:val="0F243E" w:themeColor="text2" w:themeShade="80"/>
          <w:sz w:val="22"/>
          <w:szCs w:val="22"/>
        </w:rPr>
        <w:t>enjeksiyon</w:t>
      </w:r>
      <w:proofErr w:type="gramEnd"/>
      <w:r w:rsidRPr="00615F45">
        <w:rPr>
          <w:color w:val="0F243E" w:themeColor="text2" w:themeShade="80"/>
          <w:sz w:val="22"/>
          <w:szCs w:val="22"/>
        </w:rPr>
        <w:t xml:space="preserve"> ve </w:t>
      </w:r>
      <w:r w:rsidRPr="00615F45">
        <w:rPr>
          <w:color w:val="0F243E" w:themeColor="text2" w:themeShade="80"/>
          <w:sz w:val="22"/>
          <w:szCs w:val="22"/>
        </w:rPr>
        <w:lastRenderedPageBreak/>
        <w:t xml:space="preserve">pansuman işlemlerinin de gerçekleştirildiği, sağlık kuruluşunun girişine yakın ve kullanıma uygun bir yerde bulunan ayrı bir oda,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ç) Arşiv birimi; Hasta ve yakınlarının dolaşım alanlarından izole edilmiş kapalı bir bölme veya oda,</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d) Poliklinik giriş katta değilse, hastanın tekerlekli sandalye ile girebilmesini sağlamak amacıyla kuruluşun bulunduğu binada, girişi en az seksen santimetre genişliğinde asansör olmalıdır. Merdivenin sedye ile hasta taşınmasına olanak sağlayacak şekilde, </w:t>
      </w:r>
      <w:proofErr w:type="spellStart"/>
      <w:r w:rsidRPr="00615F45">
        <w:rPr>
          <w:color w:val="0F243E" w:themeColor="text2" w:themeShade="80"/>
          <w:sz w:val="22"/>
          <w:szCs w:val="22"/>
        </w:rPr>
        <w:t>rıht</w:t>
      </w:r>
      <w:proofErr w:type="spellEnd"/>
      <w:r w:rsidRPr="00615F45">
        <w:rPr>
          <w:color w:val="0F243E" w:themeColor="text2" w:themeShade="80"/>
          <w:sz w:val="22"/>
          <w:szCs w:val="22"/>
        </w:rPr>
        <w:t xml:space="preserve"> yüksekliği 16-18 cm</w:t>
      </w:r>
      <w:proofErr w:type="gramStart"/>
      <w:r w:rsidRPr="00615F45">
        <w:rPr>
          <w:color w:val="0F243E" w:themeColor="text2" w:themeShade="80"/>
          <w:sz w:val="22"/>
          <w:szCs w:val="22"/>
        </w:rPr>
        <w:t>.,</w:t>
      </w:r>
      <w:proofErr w:type="gramEnd"/>
      <w:r w:rsidRPr="00615F45">
        <w:rPr>
          <w:color w:val="0F243E" w:themeColor="text2" w:themeShade="80"/>
          <w:sz w:val="22"/>
          <w:szCs w:val="22"/>
        </w:rPr>
        <w:t xml:space="preserve"> basamak genişliği 30-33 cm. </w:t>
      </w:r>
      <w:proofErr w:type="spellStart"/>
      <w:r w:rsidRPr="00615F45">
        <w:rPr>
          <w:color w:val="0F243E" w:themeColor="text2" w:themeShade="80"/>
          <w:sz w:val="22"/>
          <w:szCs w:val="22"/>
        </w:rPr>
        <w:t>yi</w:t>
      </w:r>
      <w:proofErr w:type="spellEnd"/>
      <w:r w:rsidRPr="00615F45">
        <w:rPr>
          <w:color w:val="0F243E" w:themeColor="text2" w:themeShade="80"/>
          <w:sz w:val="22"/>
          <w:szCs w:val="22"/>
        </w:rPr>
        <w:t xml:space="preserve"> sağlamak kaydıyla merdiven ve sahanlık ölçüsü en az 1,30 m. olmalıdır. Merdiven </w:t>
      </w:r>
      <w:proofErr w:type="spellStart"/>
      <w:r w:rsidRPr="00615F45">
        <w:rPr>
          <w:color w:val="0F243E" w:themeColor="text2" w:themeShade="80"/>
          <w:sz w:val="22"/>
          <w:szCs w:val="22"/>
        </w:rPr>
        <w:t>rıhtları</w:t>
      </w:r>
      <w:proofErr w:type="spellEnd"/>
      <w:r w:rsidRPr="00615F45">
        <w:rPr>
          <w:color w:val="0F243E" w:themeColor="text2" w:themeShade="80"/>
          <w:sz w:val="22"/>
          <w:szCs w:val="22"/>
        </w:rPr>
        <w:t xml:space="preserve"> özürlülerin çıkışını zorlaştırmayacak şekilde düz bir satıhla bitirilmeli, kuruluşun girişine özürlüler için uygun eğimli rampa yapılmalıdır.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e) Yangına karşı gereken tedbirlerin alındığına dair ilgili mevzuata göre </w:t>
      </w:r>
      <w:proofErr w:type="gramStart"/>
      <w:r w:rsidRPr="00615F45">
        <w:rPr>
          <w:color w:val="0F243E" w:themeColor="text2" w:themeShade="80"/>
          <w:sz w:val="22"/>
          <w:szCs w:val="22"/>
        </w:rPr>
        <w:t>yetkili  merciinden</w:t>
      </w:r>
      <w:proofErr w:type="gramEnd"/>
      <w:r w:rsidRPr="00615F45">
        <w:rPr>
          <w:color w:val="0F243E" w:themeColor="text2" w:themeShade="80"/>
          <w:sz w:val="22"/>
          <w:szCs w:val="22"/>
        </w:rPr>
        <w:t xml:space="preserve"> belge alınması zorunludur.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f) Kuruluşun girişinde tekerlekli sandalye ve sedye girişi için en çok % 8 eğimli rampa oluşturulur.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g) Hastaların ve personelin kullandığı bütün alanlar uygun bir şekilde havalandırılır ve yeterli güneş ışığı ile birlikte enerji kaynaklarından yararlanılarak aydınlatılmaları sağlanır. Merkezî veya kat kalorifer sistemi ve elektrikli ısıtma sistemi ile ısıtılır.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ğ) Tıbbî atıklar ve çöpler için </w:t>
      </w:r>
      <w:proofErr w:type="gramStart"/>
      <w:r w:rsidRPr="00615F45">
        <w:rPr>
          <w:color w:val="0F243E" w:themeColor="text2" w:themeShade="80"/>
          <w:sz w:val="22"/>
          <w:szCs w:val="22"/>
        </w:rPr>
        <w:t>22/7/2005</w:t>
      </w:r>
      <w:proofErr w:type="gramEnd"/>
      <w:r w:rsidRPr="00615F45">
        <w:rPr>
          <w:color w:val="0F243E" w:themeColor="text2" w:themeShade="80"/>
          <w:sz w:val="22"/>
          <w:szCs w:val="22"/>
        </w:rPr>
        <w:t xml:space="preserve"> tarihli ve 25883 sayılı Resmî Gazete’de yayımlanan Tıbbî Atıkların Kontrolü Yönetmeliği hükümlerine uygun olarak gerekli tedbirler alınır. Tıbbî ve evsel atıklar için ayrı </w:t>
      </w:r>
      <w:proofErr w:type="spellStart"/>
      <w:r w:rsidRPr="00615F45">
        <w:rPr>
          <w:color w:val="0F243E" w:themeColor="text2" w:themeShade="80"/>
          <w:sz w:val="22"/>
          <w:szCs w:val="22"/>
        </w:rPr>
        <w:t>ayrı</w:t>
      </w:r>
      <w:proofErr w:type="spellEnd"/>
      <w:r w:rsidRPr="00615F45">
        <w:rPr>
          <w:color w:val="0F243E" w:themeColor="text2" w:themeShade="80"/>
          <w:sz w:val="22"/>
          <w:szCs w:val="22"/>
        </w:rPr>
        <w:t xml:space="preserve"> çöp </w:t>
      </w:r>
      <w:proofErr w:type="gramStart"/>
      <w:r w:rsidRPr="00615F45">
        <w:rPr>
          <w:color w:val="0F243E" w:themeColor="text2" w:themeShade="80"/>
          <w:sz w:val="22"/>
          <w:szCs w:val="22"/>
        </w:rPr>
        <w:t>mahalleri  tesis</w:t>
      </w:r>
      <w:proofErr w:type="gramEnd"/>
      <w:r w:rsidRPr="00615F45">
        <w:rPr>
          <w:color w:val="0F243E" w:themeColor="text2" w:themeShade="80"/>
          <w:sz w:val="22"/>
          <w:szCs w:val="22"/>
        </w:rPr>
        <w:t xml:space="preserve"> edilir.”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r w:rsidRPr="00615F45">
        <w:rPr>
          <w:b/>
          <w:color w:val="0F243E" w:themeColor="text2" w:themeShade="80"/>
          <w:sz w:val="22"/>
          <w:szCs w:val="22"/>
        </w:rPr>
        <w:t>MADDE 4 –</w:t>
      </w:r>
      <w:r w:rsidRPr="00615F45">
        <w:rPr>
          <w:color w:val="0F243E" w:themeColor="text2" w:themeShade="80"/>
          <w:sz w:val="22"/>
          <w:szCs w:val="22"/>
        </w:rPr>
        <w:t xml:space="preserve"> Aynı Yönetmeliğin 13 üncü maddesine aşağıdaki fıkra eklenmiştir.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“(7) Bakanlık, sağlık kuruluşlarının ruhsatlandırılması </w:t>
      </w:r>
      <w:proofErr w:type="gramStart"/>
      <w:r w:rsidRPr="00615F45">
        <w:rPr>
          <w:color w:val="0F243E" w:themeColor="text2" w:themeShade="80"/>
          <w:sz w:val="22"/>
          <w:szCs w:val="22"/>
        </w:rPr>
        <w:t>işlemlerini  gerekli</w:t>
      </w:r>
      <w:proofErr w:type="gramEnd"/>
      <w:r w:rsidRPr="00615F45">
        <w:rPr>
          <w:color w:val="0F243E" w:themeColor="text2" w:themeShade="80"/>
          <w:sz w:val="22"/>
          <w:szCs w:val="22"/>
        </w:rPr>
        <w:t xml:space="preserve"> görmesi halinde valiliklere devredebilir.”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r w:rsidRPr="00615F45">
        <w:rPr>
          <w:b/>
          <w:color w:val="0F243E" w:themeColor="text2" w:themeShade="80"/>
          <w:sz w:val="22"/>
          <w:szCs w:val="22"/>
        </w:rPr>
        <w:t xml:space="preserve">MADDE 5 – </w:t>
      </w:r>
      <w:r w:rsidRPr="00615F45">
        <w:rPr>
          <w:color w:val="0F243E" w:themeColor="text2" w:themeShade="80"/>
          <w:sz w:val="22"/>
          <w:szCs w:val="22"/>
        </w:rPr>
        <w:t>Aynı Yönetmeliğin 38 inci maddesi aşağıdaki şekilde değiştirilmiştir.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r w:rsidRPr="00615F45">
        <w:rPr>
          <w:b/>
          <w:color w:val="0F243E" w:themeColor="text2" w:themeShade="80"/>
          <w:sz w:val="22"/>
          <w:szCs w:val="22"/>
        </w:rPr>
        <w:t>“MADDE 38 –</w:t>
      </w:r>
      <w:r w:rsidRPr="00615F45">
        <w:rPr>
          <w:color w:val="0F243E" w:themeColor="text2" w:themeShade="80"/>
          <w:sz w:val="22"/>
          <w:szCs w:val="22"/>
        </w:rPr>
        <w:t xml:space="preserve"> (1) Aşağıdaki konular bu Yönetmeliğin eki;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a) Sağlık kuruluşlarında uzmanlık dallarına göre bulundurulması zorunlu asgarî tıbbî malzeme ve donanım listesi Ek-8’de,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b) Tıp merkezlerinde gerçekleştirilebilecek cerrahi müdahaleler listesi Ek-9’da,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c) Cerrahi müdahaleler için ilgili ünitelerde bulundurulması zorunlu asgari cihaz ve malzeme listesi Ek-10’da,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ç) Sağlık kuruluşlarında bulundurulması zorunlu asgari ilaç listesi Ek-11’de,</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d) 25 inci maddenin birinci fıkrasında belirtilen temel </w:t>
      </w:r>
      <w:proofErr w:type="spellStart"/>
      <w:r w:rsidRPr="00615F45">
        <w:rPr>
          <w:color w:val="0F243E" w:themeColor="text2" w:themeShade="80"/>
          <w:sz w:val="22"/>
          <w:szCs w:val="22"/>
        </w:rPr>
        <w:t>laboratuvar</w:t>
      </w:r>
      <w:proofErr w:type="spellEnd"/>
      <w:r w:rsidRPr="00615F45">
        <w:rPr>
          <w:color w:val="0F243E" w:themeColor="text2" w:themeShade="80"/>
          <w:sz w:val="22"/>
          <w:szCs w:val="22"/>
        </w:rPr>
        <w:t xml:space="preserve"> ve radyolojik tetkikler Ek-12’ de,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proofErr w:type="gramStart"/>
      <w:r w:rsidRPr="00615F45">
        <w:rPr>
          <w:color w:val="0F243E" w:themeColor="text2" w:themeShade="80"/>
          <w:sz w:val="22"/>
          <w:szCs w:val="22"/>
        </w:rPr>
        <w:t>düzenlenmiştir</w:t>
      </w:r>
      <w:proofErr w:type="gramEnd"/>
      <w:r w:rsidRPr="00615F45">
        <w:rPr>
          <w:color w:val="0F243E" w:themeColor="text2" w:themeShade="80"/>
          <w:sz w:val="22"/>
          <w:szCs w:val="22"/>
        </w:rPr>
        <w:t>.”</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r w:rsidRPr="00615F45">
        <w:rPr>
          <w:b/>
          <w:color w:val="0F243E" w:themeColor="text2" w:themeShade="80"/>
          <w:sz w:val="22"/>
          <w:szCs w:val="22"/>
        </w:rPr>
        <w:t>MADDE 6 –</w:t>
      </w:r>
      <w:r w:rsidRPr="00615F45">
        <w:rPr>
          <w:color w:val="0F243E" w:themeColor="text2" w:themeShade="80"/>
          <w:sz w:val="22"/>
          <w:szCs w:val="22"/>
        </w:rPr>
        <w:t xml:space="preserve"> Aynı Yönetmeğin geçici 2 </w:t>
      </w:r>
      <w:proofErr w:type="spellStart"/>
      <w:r w:rsidRPr="00615F45">
        <w:rPr>
          <w:color w:val="0F243E" w:themeColor="text2" w:themeShade="80"/>
          <w:sz w:val="22"/>
          <w:szCs w:val="22"/>
        </w:rPr>
        <w:t>nci</w:t>
      </w:r>
      <w:proofErr w:type="spellEnd"/>
      <w:r w:rsidRPr="00615F45">
        <w:rPr>
          <w:color w:val="0F243E" w:themeColor="text2" w:themeShade="80"/>
          <w:sz w:val="22"/>
          <w:szCs w:val="22"/>
        </w:rPr>
        <w:t xml:space="preserve"> maddesi aşağıdaki şekilde değiştirilmiştir.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r w:rsidRPr="00615F45">
        <w:rPr>
          <w:b/>
          <w:color w:val="0F243E" w:themeColor="text2" w:themeShade="80"/>
          <w:sz w:val="22"/>
          <w:szCs w:val="22"/>
        </w:rPr>
        <w:t>“GEÇİCİ MADDE 2 –</w:t>
      </w:r>
      <w:r w:rsidRPr="00615F45">
        <w:rPr>
          <w:color w:val="0F243E" w:themeColor="text2" w:themeShade="80"/>
          <w:sz w:val="22"/>
          <w:szCs w:val="22"/>
        </w:rPr>
        <w:t xml:space="preserve"> (1) 39 uncu maddenin birinci fıkrasının (a) bendi ile yürürlükten kaldırılan Yönetmeliğe göre açılan sağlık kuruluşları;</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a) </w:t>
      </w:r>
      <w:proofErr w:type="gramStart"/>
      <w:r w:rsidRPr="00615F45">
        <w:rPr>
          <w:color w:val="0F243E" w:themeColor="text2" w:themeShade="80"/>
          <w:sz w:val="22"/>
          <w:szCs w:val="22"/>
        </w:rPr>
        <w:t>31/12/2009</w:t>
      </w:r>
      <w:proofErr w:type="gramEnd"/>
      <w:r w:rsidRPr="00615F45">
        <w:rPr>
          <w:color w:val="0F243E" w:themeColor="text2" w:themeShade="80"/>
          <w:sz w:val="22"/>
          <w:szCs w:val="22"/>
        </w:rPr>
        <w:t xml:space="preserve"> tarihinden itibaren en geç dört yıl içinde, tabip sayısı hariç olmak üzere bu Yönetmeliğe göre bina şartları ve fizik mekânlarını oluşturarak ruhsat almak zorundadır. Bu süre içerisinde sağlık kuruluşlarının Ek 1 inci maddeye göre başka bir yere taşınmaları halinde bina ve fizikî şartlar bakımından, 9/3/2000 tarihli ve 23988 sayılı Ayakta Teşhis ve Tedavi Yapılan Özel Sağlık Kuruluşları Hakkında Yönetmelik hükümleri uygulanır </w:t>
      </w:r>
      <w:proofErr w:type="gramStart"/>
      <w:r w:rsidRPr="00615F45">
        <w:rPr>
          <w:color w:val="0F243E" w:themeColor="text2" w:themeShade="80"/>
          <w:sz w:val="22"/>
          <w:szCs w:val="22"/>
        </w:rPr>
        <w:t>ve  uygunluk</w:t>
      </w:r>
      <w:proofErr w:type="gramEnd"/>
      <w:r w:rsidRPr="00615F45">
        <w:rPr>
          <w:color w:val="0F243E" w:themeColor="text2" w:themeShade="80"/>
          <w:sz w:val="22"/>
          <w:szCs w:val="22"/>
        </w:rPr>
        <w:t xml:space="preserve"> belgesi tanzimi işlemleri Müdürlükçe sonuçlandırılır.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b) Tabip sayısında yapılacak artışlarda 9 uncu maddeye göre yapılan planlamaya uyulması zorunludur. </w:t>
      </w:r>
      <w:proofErr w:type="gramStart"/>
      <w:r w:rsidRPr="00615F45">
        <w:rPr>
          <w:color w:val="0F243E" w:themeColor="text2" w:themeShade="80"/>
          <w:sz w:val="22"/>
          <w:szCs w:val="22"/>
        </w:rPr>
        <w:t>31/12/2009</w:t>
      </w:r>
      <w:proofErr w:type="gramEnd"/>
      <w:r w:rsidRPr="00615F45">
        <w:rPr>
          <w:color w:val="0F243E" w:themeColor="text2" w:themeShade="80"/>
          <w:sz w:val="22"/>
          <w:szCs w:val="22"/>
        </w:rPr>
        <w:t xml:space="preserve"> tarihinden itibaren dört yıl içinde ruhsat almayan sağlık kuruluşlarının, uygunluk belgeleri iptal edilir.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c) Yeni ruhsat alıncaya kadar mevcut bina ve fizik mekân şartları ile tabip sayıları dışında bu Yönetmelik hükümlerine göre faaliyetlerine devam ederler. Ek 1 inci maddedeki istisnalardan bu </w:t>
      </w:r>
      <w:r w:rsidRPr="00615F45">
        <w:rPr>
          <w:color w:val="0F243E" w:themeColor="text2" w:themeShade="80"/>
          <w:sz w:val="22"/>
          <w:szCs w:val="22"/>
        </w:rPr>
        <w:lastRenderedPageBreak/>
        <w:t xml:space="preserve">kuruluşlar da yararlanır. Bu kuruluşların mevcut durumlarının tespitinde </w:t>
      </w:r>
      <w:proofErr w:type="gramStart"/>
      <w:r w:rsidRPr="00615F45">
        <w:rPr>
          <w:color w:val="0F243E" w:themeColor="text2" w:themeShade="80"/>
          <w:sz w:val="22"/>
          <w:szCs w:val="22"/>
        </w:rPr>
        <w:t>15/2/2008</w:t>
      </w:r>
      <w:proofErr w:type="gramEnd"/>
      <w:r w:rsidRPr="00615F45">
        <w:rPr>
          <w:color w:val="0F243E" w:themeColor="text2" w:themeShade="80"/>
          <w:sz w:val="22"/>
          <w:szCs w:val="22"/>
        </w:rPr>
        <w:t xml:space="preserve"> tarihindeki resmî kayıtlar esas alınır.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(2) </w:t>
      </w:r>
      <w:proofErr w:type="gramStart"/>
      <w:r w:rsidRPr="00615F45">
        <w:rPr>
          <w:color w:val="0F243E" w:themeColor="text2" w:themeShade="80"/>
          <w:sz w:val="22"/>
          <w:szCs w:val="22"/>
        </w:rPr>
        <w:t>15/2/2008</w:t>
      </w:r>
      <w:proofErr w:type="gramEnd"/>
      <w:r w:rsidRPr="00615F45">
        <w:rPr>
          <w:color w:val="0F243E" w:themeColor="text2" w:themeShade="80"/>
          <w:sz w:val="22"/>
          <w:szCs w:val="22"/>
        </w:rPr>
        <w:t xml:space="preserve"> tarihinden 11/3/2009 tarihine kadar geçen süre içinde tabip bulunamadığı için uzmanlık dalı uygunluk belgesinden çıkarılan tıp/dal merkezleri, ilgili tabibin bulunması halinde çıkarılan uzmanlık dalını yeniden uygunluk belgesine işletebilir.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(3) </w:t>
      </w:r>
      <w:proofErr w:type="gramStart"/>
      <w:r w:rsidRPr="00615F45">
        <w:rPr>
          <w:color w:val="0F243E" w:themeColor="text2" w:themeShade="80"/>
          <w:sz w:val="22"/>
          <w:szCs w:val="22"/>
        </w:rPr>
        <w:t>15/2/2008</w:t>
      </w:r>
      <w:proofErr w:type="gramEnd"/>
      <w:r w:rsidRPr="00615F45">
        <w:rPr>
          <w:color w:val="0F243E" w:themeColor="text2" w:themeShade="80"/>
          <w:sz w:val="22"/>
          <w:szCs w:val="22"/>
        </w:rPr>
        <w:t xml:space="preserve"> tarihi ile 11/3/2009 tarihine kadar geçen sürede kadrolu tabibi olmadığından kadro hakkı sona eren tıp/dal merkezleri için 11/3/2009 tarihinden itibaren bir yıl içinde aynı dalda ve çalışma şeklinde tabip bulunur ise, kadroya eklenir.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(4) 39 uncu maddenin birinci fıkrasının (a) bendi ile yürürlükten kaldırılan Yönetmeliğe göre açılan sağlık kuruluşlarının denetimi, EK-6 ve EK-7/b sayılı denetim formlarına göre yürütülür.”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r w:rsidRPr="00615F45">
        <w:rPr>
          <w:b/>
          <w:color w:val="0F243E" w:themeColor="text2" w:themeShade="80"/>
          <w:sz w:val="22"/>
          <w:szCs w:val="22"/>
        </w:rPr>
        <w:t>MADDE 7 –</w:t>
      </w:r>
      <w:r w:rsidRPr="00615F45">
        <w:rPr>
          <w:color w:val="0F243E" w:themeColor="text2" w:themeShade="80"/>
          <w:sz w:val="22"/>
          <w:szCs w:val="22"/>
        </w:rPr>
        <w:t xml:space="preserve"> Aynı Yönetmeğin geçici 4 üncü maddesine aşağıdaki fıkra eklenmiştir.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“(6) Beşinci fıkraya göre polikliniğe dönüşmek için Müdürlüğe başvuru yapanlar, en geç altı ay içinde uygunluğunu sağlayıp müdürlükten “poliklinik uygunluk belgesi” almak zorundadırlar. Bu süre içinde tabip mesul müdürleri sorumluluğunda poliklinik olarak faaliyette bulunabilirler. Bu kuruluşlar, bina ve fiziki şartlar bakımından geçici 2 </w:t>
      </w:r>
      <w:proofErr w:type="spellStart"/>
      <w:r w:rsidRPr="00615F45">
        <w:rPr>
          <w:color w:val="0F243E" w:themeColor="text2" w:themeShade="80"/>
          <w:sz w:val="22"/>
          <w:szCs w:val="22"/>
        </w:rPr>
        <w:t>nci</w:t>
      </w:r>
      <w:proofErr w:type="spellEnd"/>
      <w:r w:rsidRPr="00615F45">
        <w:rPr>
          <w:color w:val="0F243E" w:themeColor="text2" w:themeShade="80"/>
          <w:sz w:val="22"/>
          <w:szCs w:val="22"/>
        </w:rPr>
        <w:t xml:space="preserve"> maddenin birinci fıkrası (a) bendinde öngörülen uyum süresi içerisinde yürürlükten kaldırılan </w:t>
      </w:r>
      <w:proofErr w:type="gramStart"/>
      <w:r w:rsidRPr="00615F45">
        <w:rPr>
          <w:color w:val="0F243E" w:themeColor="text2" w:themeShade="80"/>
          <w:sz w:val="22"/>
          <w:szCs w:val="22"/>
        </w:rPr>
        <w:t>9/3/2000</w:t>
      </w:r>
      <w:proofErr w:type="gramEnd"/>
      <w:r w:rsidRPr="00615F45">
        <w:rPr>
          <w:color w:val="0F243E" w:themeColor="text2" w:themeShade="80"/>
          <w:sz w:val="22"/>
          <w:szCs w:val="22"/>
        </w:rPr>
        <w:t xml:space="preserve"> tarihli ve 23988 sayılı Resmî Gazete’de yayımlanan Ayakta Teşhis ve Tedavi Yapılan Özel Sağlık Kuruluşları Hakkında Yönetmelik hükümlerine göre değerlendirilerek Müdürlükçe uygunluk belgesi düzenlenir. Altı ay sonunda uygunluğunu sağlayamayan veya Müdürlük incelemesi sonucu başvurusu uygun bulunmayan yerlerin valilikçe faaliyetine son verilir.”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r w:rsidRPr="00615F45">
        <w:rPr>
          <w:b/>
          <w:color w:val="0F243E" w:themeColor="text2" w:themeShade="80"/>
          <w:sz w:val="22"/>
          <w:szCs w:val="22"/>
        </w:rPr>
        <w:t xml:space="preserve">MADDE 8 – </w:t>
      </w:r>
      <w:r w:rsidRPr="00615F45">
        <w:rPr>
          <w:color w:val="0F243E" w:themeColor="text2" w:themeShade="80"/>
          <w:sz w:val="22"/>
          <w:szCs w:val="22"/>
        </w:rPr>
        <w:t>Aynı Yönetmeliğin eki Ek-1/a, Ek-1/b ve Ek-1/c ekteki şekilde değiştirilmiş, ekteki Ek-8, Ek-9, Ek-10, Ek-11 ve Ek-12 eklenmiştir.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r w:rsidRPr="00615F45">
        <w:rPr>
          <w:b/>
          <w:color w:val="0F243E" w:themeColor="text2" w:themeShade="80"/>
          <w:sz w:val="22"/>
          <w:szCs w:val="22"/>
        </w:rPr>
        <w:t xml:space="preserve">MADDE 9 – </w:t>
      </w:r>
      <w:r w:rsidRPr="00615F45">
        <w:rPr>
          <w:color w:val="0F243E" w:themeColor="text2" w:themeShade="80"/>
          <w:sz w:val="22"/>
          <w:szCs w:val="22"/>
        </w:rPr>
        <w:t>Bu Yönetmelik yayımı tarihinde yürürlüğe girer.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r w:rsidRPr="00615F45">
        <w:rPr>
          <w:b/>
          <w:color w:val="0F243E" w:themeColor="text2" w:themeShade="80"/>
          <w:sz w:val="22"/>
          <w:szCs w:val="22"/>
        </w:rPr>
        <w:t xml:space="preserve">MADDE 10 – </w:t>
      </w:r>
      <w:r w:rsidRPr="00615F45">
        <w:rPr>
          <w:color w:val="0F243E" w:themeColor="text2" w:themeShade="80"/>
          <w:sz w:val="22"/>
          <w:szCs w:val="22"/>
        </w:rPr>
        <w:t>Bu Yönetmelik hükümlerini Sağlık Bakanı yürütür.</w:t>
      </w:r>
    </w:p>
    <w:p w:rsidR="00615F45" w:rsidRPr="00615F45" w:rsidRDefault="00615F45" w:rsidP="00615F45">
      <w:pPr>
        <w:pStyle w:val="3-normalyaz"/>
        <w:spacing w:before="0" w:beforeAutospacing="0" w:after="0" w:afterAutospacing="0" w:line="276" w:lineRule="auto"/>
        <w:jc w:val="center"/>
        <w:rPr>
          <w:color w:val="0F243E" w:themeColor="text2" w:themeShade="80"/>
          <w:sz w:val="22"/>
          <w:szCs w:val="22"/>
        </w:rPr>
      </w:pPr>
      <w:r w:rsidRPr="00615F45">
        <w:rPr>
          <w:color w:val="0F243E" w:themeColor="text2" w:themeShade="80"/>
          <w:sz w:val="22"/>
          <w:szCs w:val="22"/>
        </w:rPr>
        <w:t>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
        <w:gridCol w:w="4098"/>
        <w:gridCol w:w="4709"/>
      </w:tblGrid>
      <w:tr w:rsidR="00615F45" w:rsidRPr="00615F45">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615F45" w:rsidRPr="00615F45" w:rsidRDefault="00615F45">
            <w:pPr>
              <w:jc w:val="center"/>
              <w:rPr>
                <w:rFonts w:ascii="Times New Roman" w:hAnsi="Times New Roman" w:cs="Times New Roman"/>
                <w:color w:val="0F243E" w:themeColor="text2" w:themeShade="80"/>
              </w:rPr>
            </w:pPr>
            <w:proofErr w:type="spellStart"/>
            <w:r w:rsidRPr="00615F45">
              <w:rPr>
                <w:rFonts w:ascii="Times New Roman" w:hAnsi="Times New Roman" w:cs="Times New Roman"/>
                <w:b/>
                <w:color w:val="0F243E" w:themeColor="text2" w:themeShade="80"/>
                <w:lang w:val="en-GB"/>
              </w:rPr>
              <w:t>Yönetmeliğin</w:t>
            </w:r>
            <w:proofErr w:type="spellEnd"/>
            <w:r w:rsidRPr="00615F45">
              <w:rPr>
                <w:rFonts w:ascii="Times New Roman" w:hAnsi="Times New Roman" w:cs="Times New Roman"/>
                <w:b/>
                <w:color w:val="0F243E" w:themeColor="text2" w:themeShade="80"/>
                <w:lang w:val="en-GB"/>
              </w:rPr>
              <w:t xml:space="preserve"> </w:t>
            </w:r>
            <w:proofErr w:type="spellStart"/>
            <w:r w:rsidRPr="00615F45">
              <w:rPr>
                <w:rFonts w:ascii="Times New Roman" w:hAnsi="Times New Roman" w:cs="Times New Roman"/>
                <w:b/>
                <w:color w:val="0F243E" w:themeColor="text2" w:themeShade="80"/>
                <w:lang w:val="en-GB"/>
              </w:rPr>
              <w:t>Yayımlandığı</w:t>
            </w:r>
            <w:proofErr w:type="spellEnd"/>
            <w:r w:rsidRPr="00615F45">
              <w:rPr>
                <w:rFonts w:ascii="Times New Roman" w:hAnsi="Times New Roman" w:cs="Times New Roman"/>
                <w:b/>
                <w:color w:val="0F243E" w:themeColor="text2" w:themeShade="80"/>
                <w:lang w:val="en-GB"/>
              </w:rPr>
              <w:t xml:space="preserve"> </w:t>
            </w:r>
            <w:proofErr w:type="spellStart"/>
            <w:r w:rsidRPr="00615F45">
              <w:rPr>
                <w:rFonts w:ascii="Times New Roman" w:hAnsi="Times New Roman" w:cs="Times New Roman"/>
                <w:b/>
                <w:color w:val="0F243E" w:themeColor="text2" w:themeShade="80"/>
                <w:lang w:val="en-GB"/>
              </w:rPr>
              <w:t>Resmî</w:t>
            </w:r>
            <w:proofErr w:type="spellEnd"/>
            <w:r w:rsidRPr="00615F45">
              <w:rPr>
                <w:rFonts w:ascii="Times New Roman" w:hAnsi="Times New Roman" w:cs="Times New Roman"/>
                <w:b/>
                <w:color w:val="0F243E" w:themeColor="text2" w:themeShade="80"/>
                <w:lang w:val="en-GB"/>
              </w:rPr>
              <w:t xml:space="preserve"> </w:t>
            </w:r>
            <w:proofErr w:type="spellStart"/>
            <w:r w:rsidRPr="00615F45">
              <w:rPr>
                <w:rFonts w:ascii="Times New Roman" w:hAnsi="Times New Roman" w:cs="Times New Roman"/>
                <w:b/>
                <w:color w:val="0F243E" w:themeColor="text2" w:themeShade="80"/>
                <w:lang w:val="en-GB"/>
              </w:rPr>
              <w:t>Gazete’nin</w:t>
            </w:r>
            <w:proofErr w:type="spellEnd"/>
          </w:p>
        </w:tc>
      </w:tr>
      <w:tr w:rsidR="00615F45" w:rsidRPr="00615F45">
        <w:trPr>
          <w:trHeight w:val="228"/>
          <w:jc w:val="center"/>
        </w:trPr>
        <w:tc>
          <w:tcPr>
            <w:tcW w:w="4413" w:type="dxa"/>
            <w:gridSpan w:val="2"/>
            <w:tcBorders>
              <w:top w:val="nil"/>
              <w:left w:val="single" w:sz="4" w:space="0" w:color="auto"/>
              <w:bottom w:val="single" w:sz="4" w:space="0" w:color="auto"/>
              <w:right w:val="nil"/>
            </w:tcBorders>
            <w:hideMark/>
          </w:tcPr>
          <w:p w:rsidR="00615F45" w:rsidRPr="00615F45" w:rsidRDefault="00615F45">
            <w:pPr>
              <w:spacing w:line="228" w:lineRule="atLeast"/>
              <w:jc w:val="center"/>
              <w:rPr>
                <w:rFonts w:ascii="Times New Roman" w:hAnsi="Times New Roman" w:cs="Times New Roman"/>
                <w:color w:val="0F243E" w:themeColor="text2" w:themeShade="80"/>
              </w:rPr>
            </w:pPr>
            <w:proofErr w:type="spellStart"/>
            <w:r w:rsidRPr="00615F45">
              <w:rPr>
                <w:rFonts w:ascii="Times New Roman" w:hAnsi="Times New Roman" w:cs="Times New Roman"/>
                <w:b/>
                <w:color w:val="0F243E" w:themeColor="text2" w:themeShade="80"/>
                <w:lang w:val="en-GB"/>
              </w:rPr>
              <w:t>Tarihi</w:t>
            </w:r>
            <w:proofErr w:type="spellEnd"/>
          </w:p>
        </w:tc>
        <w:tc>
          <w:tcPr>
            <w:tcW w:w="4720" w:type="dxa"/>
            <w:tcBorders>
              <w:top w:val="nil"/>
              <w:left w:val="nil"/>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proofErr w:type="spellStart"/>
            <w:r w:rsidRPr="00615F45">
              <w:rPr>
                <w:rFonts w:ascii="Times New Roman" w:hAnsi="Times New Roman" w:cs="Times New Roman"/>
                <w:b/>
                <w:color w:val="0F243E" w:themeColor="text2" w:themeShade="80"/>
                <w:lang w:val="en-GB"/>
              </w:rPr>
              <w:t>Sayısı</w:t>
            </w:r>
            <w:proofErr w:type="spellEnd"/>
          </w:p>
        </w:tc>
      </w:tr>
      <w:tr w:rsidR="00615F45" w:rsidRPr="00615F45">
        <w:trPr>
          <w:trHeight w:val="228"/>
          <w:jc w:val="center"/>
        </w:trPr>
        <w:tc>
          <w:tcPr>
            <w:tcW w:w="4413" w:type="dxa"/>
            <w:gridSpan w:val="2"/>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15/2/2008</w:t>
            </w:r>
          </w:p>
        </w:tc>
        <w:tc>
          <w:tcPr>
            <w:tcW w:w="4720"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26788</w:t>
            </w:r>
          </w:p>
        </w:tc>
      </w:tr>
      <w:tr w:rsidR="00615F45" w:rsidRPr="00615F45">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615F45" w:rsidRPr="00615F45" w:rsidRDefault="00615F45">
            <w:pPr>
              <w:jc w:val="center"/>
              <w:rPr>
                <w:rFonts w:ascii="Times New Roman" w:hAnsi="Times New Roman" w:cs="Times New Roman"/>
                <w:color w:val="0F243E" w:themeColor="text2" w:themeShade="80"/>
              </w:rPr>
            </w:pPr>
            <w:proofErr w:type="spellStart"/>
            <w:r w:rsidRPr="00615F45">
              <w:rPr>
                <w:rFonts w:ascii="Times New Roman" w:hAnsi="Times New Roman" w:cs="Times New Roman"/>
                <w:b/>
                <w:color w:val="0F243E" w:themeColor="text2" w:themeShade="80"/>
                <w:lang w:val="en-GB"/>
              </w:rPr>
              <w:t>Yönetmelikte</w:t>
            </w:r>
            <w:proofErr w:type="spellEnd"/>
            <w:r w:rsidRPr="00615F45">
              <w:rPr>
                <w:rFonts w:ascii="Times New Roman" w:hAnsi="Times New Roman" w:cs="Times New Roman"/>
                <w:b/>
                <w:color w:val="0F243E" w:themeColor="text2" w:themeShade="80"/>
                <w:lang w:val="en-GB"/>
              </w:rPr>
              <w:t xml:space="preserve"> </w:t>
            </w:r>
            <w:proofErr w:type="spellStart"/>
            <w:r w:rsidRPr="00615F45">
              <w:rPr>
                <w:rFonts w:ascii="Times New Roman" w:hAnsi="Times New Roman" w:cs="Times New Roman"/>
                <w:b/>
                <w:color w:val="0F243E" w:themeColor="text2" w:themeShade="80"/>
                <w:lang w:val="en-GB"/>
              </w:rPr>
              <w:t>Değişiklik</w:t>
            </w:r>
            <w:proofErr w:type="spellEnd"/>
            <w:r w:rsidRPr="00615F45">
              <w:rPr>
                <w:rFonts w:ascii="Times New Roman" w:hAnsi="Times New Roman" w:cs="Times New Roman"/>
                <w:b/>
                <w:color w:val="0F243E" w:themeColor="text2" w:themeShade="80"/>
                <w:lang w:val="en-GB"/>
              </w:rPr>
              <w:t xml:space="preserve"> </w:t>
            </w:r>
            <w:proofErr w:type="spellStart"/>
            <w:r w:rsidRPr="00615F45">
              <w:rPr>
                <w:rFonts w:ascii="Times New Roman" w:hAnsi="Times New Roman" w:cs="Times New Roman"/>
                <w:b/>
                <w:color w:val="0F243E" w:themeColor="text2" w:themeShade="80"/>
                <w:lang w:val="en-GB"/>
              </w:rPr>
              <w:t>Yapan</w:t>
            </w:r>
            <w:proofErr w:type="spellEnd"/>
            <w:r w:rsidRPr="00615F45">
              <w:rPr>
                <w:rFonts w:ascii="Times New Roman" w:hAnsi="Times New Roman" w:cs="Times New Roman"/>
                <w:b/>
                <w:color w:val="0F243E" w:themeColor="text2" w:themeShade="80"/>
                <w:lang w:val="en-GB"/>
              </w:rPr>
              <w:t xml:space="preserve"> </w:t>
            </w:r>
            <w:proofErr w:type="spellStart"/>
            <w:r w:rsidRPr="00615F45">
              <w:rPr>
                <w:rFonts w:ascii="Times New Roman" w:hAnsi="Times New Roman" w:cs="Times New Roman"/>
                <w:b/>
                <w:color w:val="0F243E" w:themeColor="text2" w:themeShade="80"/>
                <w:lang w:val="en-GB"/>
              </w:rPr>
              <w:t>Yönetmeliklerin</w:t>
            </w:r>
            <w:proofErr w:type="spellEnd"/>
            <w:r w:rsidRPr="00615F45">
              <w:rPr>
                <w:rFonts w:ascii="Times New Roman" w:hAnsi="Times New Roman" w:cs="Times New Roman"/>
                <w:b/>
                <w:color w:val="0F243E" w:themeColor="text2" w:themeShade="80"/>
                <w:lang w:val="en-GB"/>
              </w:rPr>
              <w:t xml:space="preserve"> </w:t>
            </w:r>
            <w:proofErr w:type="spellStart"/>
            <w:r w:rsidRPr="00615F45">
              <w:rPr>
                <w:rFonts w:ascii="Times New Roman" w:hAnsi="Times New Roman" w:cs="Times New Roman"/>
                <w:b/>
                <w:color w:val="0F243E" w:themeColor="text2" w:themeShade="80"/>
                <w:lang w:val="en-GB"/>
              </w:rPr>
              <w:t>Yayımlandığı</w:t>
            </w:r>
            <w:proofErr w:type="spellEnd"/>
            <w:r w:rsidRPr="00615F45">
              <w:rPr>
                <w:rFonts w:ascii="Times New Roman" w:hAnsi="Times New Roman" w:cs="Times New Roman"/>
                <w:b/>
                <w:color w:val="0F243E" w:themeColor="text2" w:themeShade="80"/>
                <w:lang w:val="en-GB"/>
              </w:rPr>
              <w:t xml:space="preserve"> </w:t>
            </w:r>
            <w:proofErr w:type="spellStart"/>
            <w:r w:rsidRPr="00615F45">
              <w:rPr>
                <w:rFonts w:ascii="Times New Roman" w:hAnsi="Times New Roman" w:cs="Times New Roman"/>
                <w:b/>
                <w:color w:val="0F243E" w:themeColor="text2" w:themeShade="80"/>
                <w:lang w:val="en-GB"/>
              </w:rPr>
              <w:t>Resmî</w:t>
            </w:r>
            <w:proofErr w:type="spellEnd"/>
            <w:r w:rsidRPr="00615F45">
              <w:rPr>
                <w:rFonts w:ascii="Times New Roman" w:hAnsi="Times New Roman" w:cs="Times New Roman"/>
                <w:b/>
                <w:color w:val="0F243E" w:themeColor="text2" w:themeShade="80"/>
                <w:lang w:val="en-GB"/>
              </w:rPr>
              <w:t xml:space="preserve"> </w:t>
            </w:r>
            <w:proofErr w:type="spellStart"/>
            <w:r w:rsidRPr="00615F45">
              <w:rPr>
                <w:rFonts w:ascii="Times New Roman" w:hAnsi="Times New Roman" w:cs="Times New Roman"/>
                <w:b/>
                <w:color w:val="0F243E" w:themeColor="text2" w:themeShade="80"/>
                <w:lang w:val="en-GB"/>
              </w:rPr>
              <w:t>Gazete’nin</w:t>
            </w:r>
            <w:proofErr w:type="spellEnd"/>
          </w:p>
        </w:tc>
      </w:tr>
      <w:tr w:rsidR="00615F45" w:rsidRPr="00615F45">
        <w:trPr>
          <w:trHeight w:val="228"/>
          <w:jc w:val="center"/>
        </w:trPr>
        <w:tc>
          <w:tcPr>
            <w:tcW w:w="4413" w:type="dxa"/>
            <w:gridSpan w:val="2"/>
            <w:tcBorders>
              <w:top w:val="nil"/>
              <w:left w:val="single" w:sz="4" w:space="0" w:color="auto"/>
              <w:bottom w:val="single" w:sz="4" w:space="0" w:color="auto"/>
              <w:right w:val="nil"/>
            </w:tcBorders>
            <w:hideMark/>
          </w:tcPr>
          <w:p w:rsidR="00615F45" w:rsidRPr="00615F45" w:rsidRDefault="00615F45">
            <w:pPr>
              <w:spacing w:line="228" w:lineRule="atLeast"/>
              <w:jc w:val="center"/>
              <w:rPr>
                <w:rFonts w:ascii="Times New Roman" w:hAnsi="Times New Roman" w:cs="Times New Roman"/>
                <w:color w:val="0F243E" w:themeColor="text2" w:themeShade="80"/>
              </w:rPr>
            </w:pPr>
            <w:proofErr w:type="spellStart"/>
            <w:r w:rsidRPr="00615F45">
              <w:rPr>
                <w:rFonts w:ascii="Times New Roman" w:hAnsi="Times New Roman" w:cs="Times New Roman"/>
                <w:b/>
                <w:color w:val="0F243E" w:themeColor="text2" w:themeShade="80"/>
                <w:lang w:val="en-GB"/>
              </w:rPr>
              <w:t>Tarihi</w:t>
            </w:r>
            <w:proofErr w:type="spellEnd"/>
          </w:p>
        </w:tc>
        <w:tc>
          <w:tcPr>
            <w:tcW w:w="4720" w:type="dxa"/>
            <w:tcBorders>
              <w:top w:val="nil"/>
              <w:left w:val="nil"/>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proofErr w:type="spellStart"/>
            <w:r w:rsidRPr="00615F45">
              <w:rPr>
                <w:rFonts w:ascii="Times New Roman" w:hAnsi="Times New Roman" w:cs="Times New Roman"/>
                <w:b/>
                <w:color w:val="0F243E" w:themeColor="text2" w:themeShade="80"/>
                <w:lang w:val="en-GB"/>
              </w:rPr>
              <w:t>Sayısı</w:t>
            </w:r>
            <w:proofErr w:type="spellEnd"/>
          </w:p>
        </w:tc>
      </w:tr>
      <w:tr w:rsidR="00615F45" w:rsidRPr="00615F45">
        <w:trPr>
          <w:trHeight w:val="228"/>
          <w:jc w:val="center"/>
        </w:trPr>
        <w:tc>
          <w:tcPr>
            <w:tcW w:w="306"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1</w:t>
            </w:r>
          </w:p>
        </w:tc>
        <w:tc>
          <w:tcPr>
            <w:tcW w:w="4107"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23/7/2008</w:t>
            </w:r>
          </w:p>
        </w:tc>
        <w:tc>
          <w:tcPr>
            <w:tcW w:w="4720"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26945</w:t>
            </w:r>
          </w:p>
        </w:tc>
      </w:tr>
      <w:tr w:rsidR="00615F45" w:rsidRPr="00615F45">
        <w:trPr>
          <w:trHeight w:val="228"/>
          <w:jc w:val="center"/>
        </w:trPr>
        <w:tc>
          <w:tcPr>
            <w:tcW w:w="306"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2</w:t>
            </w:r>
          </w:p>
        </w:tc>
        <w:tc>
          <w:tcPr>
            <w:tcW w:w="4107"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11/3/2009</w:t>
            </w:r>
          </w:p>
        </w:tc>
        <w:tc>
          <w:tcPr>
            <w:tcW w:w="4720"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27166</w:t>
            </w:r>
          </w:p>
        </w:tc>
      </w:tr>
      <w:tr w:rsidR="00615F45" w:rsidRPr="00615F45">
        <w:trPr>
          <w:trHeight w:val="228"/>
          <w:jc w:val="center"/>
        </w:trPr>
        <w:tc>
          <w:tcPr>
            <w:tcW w:w="306"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3</w:t>
            </w:r>
          </w:p>
        </w:tc>
        <w:tc>
          <w:tcPr>
            <w:tcW w:w="4107"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31/12/2009</w:t>
            </w:r>
          </w:p>
        </w:tc>
        <w:tc>
          <w:tcPr>
            <w:tcW w:w="4720" w:type="dxa"/>
            <w:tcBorders>
              <w:top w:val="single" w:sz="4" w:space="0" w:color="auto"/>
              <w:left w:val="single" w:sz="4" w:space="0" w:color="auto"/>
              <w:bottom w:val="single" w:sz="4" w:space="0" w:color="auto"/>
              <w:right w:val="single" w:sz="4" w:space="0" w:color="auto"/>
            </w:tcBorders>
            <w:hideMark/>
          </w:tcPr>
          <w:p w:rsidR="00615F45" w:rsidRPr="00615F45" w:rsidRDefault="00615F45">
            <w:pPr>
              <w:spacing w:line="228" w:lineRule="atLeast"/>
              <w:jc w:val="center"/>
              <w:rPr>
                <w:rFonts w:ascii="Times New Roman" w:hAnsi="Times New Roman" w:cs="Times New Roman"/>
                <w:color w:val="0F243E" w:themeColor="text2" w:themeShade="80"/>
              </w:rPr>
            </w:pPr>
            <w:r w:rsidRPr="00615F45">
              <w:rPr>
                <w:rFonts w:ascii="Times New Roman" w:hAnsi="Times New Roman" w:cs="Times New Roman"/>
                <w:color w:val="0F243E" w:themeColor="text2" w:themeShade="80"/>
                <w:lang w:val="en-GB"/>
              </w:rPr>
              <w:t xml:space="preserve">27449 (5. </w:t>
            </w:r>
            <w:proofErr w:type="spellStart"/>
            <w:r w:rsidRPr="00615F45">
              <w:rPr>
                <w:rFonts w:ascii="Times New Roman" w:hAnsi="Times New Roman" w:cs="Times New Roman"/>
                <w:color w:val="0F243E" w:themeColor="text2" w:themeShade="80"/>
                <w:lang w:val="en-GB"/>
              </w:rPr>
              <w:t>Mükerrer</w:t>
            </w:r>
            <w:proofErr w:type="spellEnd"/>
            <w:r w:rsidRPr="00615F45">
              <w:rPr>
                <w:rFonts w:ascii="Times New Roman" w:hAnsi="Times New Roman" w:cs="Times New Roman"/>
                <w:color w:val="0F243E" w:themeColor="text2" w:themeShade="80"/>
                <w:lang w:val="en-GB"/>
              </w:rPr>
              <w:t>)</w:t>
            </w:r>
          </w:p>
        </w:tc>
      </w:tr>
    </w:tbl>
    <w:p w:rsidR="00615F45" w:rsidRPr="00615F45" w:rsidRDefault="00615F45" w:rsidP="00615F45">
      <w:pPr>
        <w:pStyle w:val="3-normalyaz"/>
        <w:spacing w:before="0" w:beforeAutospacing="0" w:after="0" w:afterAutospacing="0" w:line="276" w:lineRule="auto"/>
        <w:jc w:val="center"/>
        <w:rPr>
          <w:color w:val="0F243E" w:themeColor="text2" w:themeShade="80"/>
          <w:sz w:val="22"/>
          <w:szCs w:val="22"/>
        </w:rPr>
      </w:pPr>
      <w:r w:rsidRPr="00615F45">
        <w:rPr>
          <w:color w:val="0F243E" w:themeColor="text2" w:themeShade="80"/>
          <w:sz w:val="22"/>
          <w:szCs w:val="22"/>
        </w:rPr>
        <w:t>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EK-1/a</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1- TIP MERKEZLERİNDE RUHSATNAME BAŞVURUSU</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İÇİN GEREKLİ BELGELER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1) Tıp merkezi işleteninin, adı veya ticari unvanı ile açmak istediği kuruluşun adını, açık adresini, faaliyet göstereceği uzmanlık dalları ve türünü belirten ve merkezin açılışı ile ilgili işlemlerinin başlatılmasını talep eden imzalı başvuru dilekçesi,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2) Tıp merkezleri için, Bakanlıkça verilmiş ön izin belgesi ve ön izne esas mimari proje,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3) Binanın, "tıp merkezi veya özel sağlık tesisi" olarak yapı kullanma izni belgesi,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lastRenderedPageBreak/>
        <w:t xml:space="preserve">   </w:t>
      </w:r>
      <w:r w:rsidRPr="00615F45">
        <w:rPr>
          <w:color w:val="0F243E" w:themeColor="text2" w:themeShade="80"/>
          <w:sz w:val="22"/>
          <w:szCs w:val="22"/>
        </w:rPr>
        <w:tab/>
        <w:t xml:space="preserve">4) Tıp merkezinin olduğu binada </w:t>
      </w:r>
      <w:proofErr w:type="gramStart"/>
      <w:r w:rsidRPr="00615F45">
        <w:rPr>
          <w:color w:val="0F243E" w:themeColor="text2" w:themeShade="80"/>
          <w:sz w:val="22"/>
          <w:szCs w:val="22"/>
        </w:rPr>
        <w:t>27/11/2007</w:t>
      </w:r>
      <w:proofErr w:type="gramEnd"/>
      <w:r w:rsidRPr="00615F45">
        <w:rPr>
          <w:color w:val="0F243E" w:themeColor="text2" w:themeShade="80"/>
          <w:sz w:val="22"/>
          <w:szCs w:val="22"/>
        </w:rPr>
        <w:t xml:space="preserve"> tarihli ve 2007/12937 sayılı Bakanlar Kurulu Kararı ile kabul edilerek 19/12/2007 tarihli ve 26735 sayılı Resmî Gazete’de yayımlanan Binaların Yangından Korunması Hakkında Yönetmelik hükümlerine uygun şekilde yangın için gerekli tedbirlerin alındığını, tesisatın kurulduğunu ve binanın bu açıdan uygunluğunu ayrıntılı olarak gösteren ve yetkili merciden alınan belge,</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5) Tıp merkezi binası için ilgili mevzuata göre alınmış depreme dayanıklılık raporu,</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r>
      <w:proofErr w:type="gramStart"/>
      <w:r w:rsidRPr="00615F45">
        <w:rPr>
          <w:color w:val="0F243E" w:themeColor="text2" w:themeShade="80"/>
          <w:sz w:val="22"/>
          <w:szCs w:val="22"/>
        </w:rPr>
        <w:t xml:space="preserve">6) Tıp merkezi ticaret şirketi tarafından açılacak ise, şirket ortaklarını gösterir ticaret sicili gazetesinin aslı veya Müdürlük onaylı örneği ile şirket ortaklarının tamamının tabip olduklarını belgelemek üzere ortakların diplomalarının, varsa uzmanlık belgelerinin Müdürlükçe tasdikli suretleri; tıp merkezi gerçek kişi/kişiler tarafından açılacak ise fakültesi diploma/diplomaları ve varsa uzmanlık belgelerinin Müdürlükçe tasdikli suretleri,  </w:t>
      </w:r>
      <w:proofErr w:type="gramEnd"/>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7) Yönetmeliğin 25 inci maddesine göre </w:t>
      </w:r>
      <w:proofErr w:type="spellStart"/>
      <w:r w:rsidRPr="00615F45">
        <w:rPr>
          <w:color w:val="0F243E" w:themeColor="text2" w:themeShade="80"/>
          <w:sz w:val="22"/>
          <w:szCs w:val="22"/>
        </w:rPr>
        <w:t>laboratuvar</w:t>
      </w:r>
      <w:proofErr w:type="spellEnd"/>
      <w:r w:rsidRPr="00615F45">
        <w:rPr>
          <w:color w:val="0F243E" w:themeColor="text2" w:themeShade="80"/>
          <w:sz w:val="22"/>
          <w:szCs w:val="22"/>
        </w:rPr>
        <w:t xml:space="preserve"> ile radyoloji hizmetlerinin gerek tıp merkezi bünyesinde ve gerekse hizmet satın alma yoluyla nasıl yürütüleceğini gösterir belgeler,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r>
      <w:proofErr w:type="gramStart"/>
      <w:r w:rsidRPr="00615F45">
        <w:rPr>
          <w:color w:val="0F243E" w:themeColor="text2" w:themeShade="80"/>
          <w:sz w:val="22"/>
          <w:szCs w:val="22"/>
        </w:rPr>
        <w:t>8) Tıp merkezi tam donanımlı acil yardım ambulansı bulunduruluyor ise, Ambulanslar ve Acil Sağlık Araçları ile Ambulans Hizmetleri Yönetmeliğine göre alınmış Ambulans Uygunluk Belgesinin Müdürlükçe tasdikli sureti; ambulans hizmeti sunan özel bir kuruluş ile sözleşme yapılmış ise, Ambulans Servisi Uygunluk Belgesinin ve hizmet sözleşmesinin ıslak imzalı veya ıslak imzalı aslı görülerek Müdürlük onaylı örneği; Yönetmeliğin 24 üncü maddesinin sekizinci fıkrasına uygun ve ambulans hizmetinin karşılandığına dair Sağlık Müdürü tarafından onaylı belgenin sureti,</w:t>
      </w:r>
      <w:proofErr w:type="gramEnd"/>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9) Yönetmeliğin 23 üncü maddesinin beşinci fıkrası uyarınca tıp merkezinin koordineli çalışacağı özel veya kamu hastane veya hastaneleri ile yapılan hizmet sözleşmesinin ıslak imzalı aslı görülerek Müdürlük onaylı örneği,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r>
      <w:proofErr w:type="gramStart"/>
      <w:r w:rsidRPr="00615F45">
        <w:rPr>
          <w:color w:val="0F243E" w:themeColor="text2" w:themeShade="80"/>
          <w:sz w:val="22"/>
          <w:szCs w:val="22"/>
        </w:rPr>
        <w:t xml:space="preserve">10) Mesul müdürün, tıp merkezinde mesul müdür olarak çalışacağına dair ıslak imzalı veya ıslak imzalı aslı görülerek Müdürlük onaylı mesul müdürlük sözleşmesi örneği; Yönetmeliğin 16 </w:t>
      </w:r>
      <w:proofErr w:type="spellStart"/>
      <w:r w:rsidRPr="00615F45">
        <w:rPr>
          <w:color w:val="0F243E" w:themeColor="text2" w:themeShade="80"/>
          <w:sz w:val="22"/>
          <w:szCs w:val="22"/>
        </w:rPr>
        <w:t>ncı</w:t>
      </w:r>
      <w:proofErr w:type="spellEnd"/>
      <w:r w:rsidRPr="00615F45">
        <w:rPr>
          <w:color w:val="0F243E" w:themeColor="text2" w:themeShade="80"/>
          <w:sz w:val="22"/>
          <w:szCs w:val="22"/>
        </w:rPr>
        <w:t xml:space="preserve"> maddesinin dördüncü fıkrasına göre mesul müdürlük yapmaya engel halinin bulunmadığını gösteren belgeler; mesul müdüre ait diploma ve var ise uzmanlık belgesi, T.C. Kimlik Numarası beyanı ve iki adet vesikalık fotoğraf,</w:t>
      </w:r>
      <w:proofErr w:type="gramEnd"/>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a) Tıp merkezi işleteni şirket bakımından, mesul müdür şirket ortağı değilse şirket müdürü ile mesul müdür arasında imzalanan sözleşme; şirket müdürü ile mesul müdür şirket ortağı ise, -şirket müdürü, mesul müdür olamaz- şirket müdürü ve mesul müdür arasında imzalanan sözleşme,</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b) Tıp merkezi işleteni gerçek kişiler ve mesul müdür de ortak ise, diğer ortakların mesul müdürlük konusunda yazılı ve imzalı rıza beyanları veya mesul müdürlük yapacak ortak ile diğer ortaklar arasında bu konuda yapılan sözleşme (mesul müdür ortak değil ise, bütün ortaklarla yapılan sözleşme),</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r>
      <w:proofErr w:type="gramStart"/>
      <w:r w:rsidRPr="00615F45">
        <w:rPr>
          <w:color w:val="0F243E" w:themeColor="text2" w:themeShade="80"/>
          <w:sz w:val="22"/>
          <w:szCs w:val="22"/>
        </w:rPr>
        <w:t>11) EK-5’e göre tıp merkezinde tam zamanlı çalışacak asgari sayıdaki uzman tabipleri ve kısmi zamanlı çalışacak uzman tabiplerin/tabiplerin, diplomaları/uzmanlık belgeleri ile hizmet sözleşmeleri; sadece nöbet hizmeti sunacak olan tabip veya tabiplerin diplomaları, varsa uzmanlık belgeleri ve nöbet hizmeti ile ilgili sözleşme/sözleşmeler; tabip harici sağlık çalışanlarının hizmet sözleşmeleri ve diplomaları (diploma ve uzmanlık belgeleri ile sözleşmelerin, aslı görülmek şartıyla Müdürlük tasdikli suretleri; istenilir ise sözleşmeler ıslak imzalı verilebilir),</w:t>
      </w:r>
      <w:proofErr w:type="gramEnd"/>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12) Tıp merkezinde çalışacak tabiplerin ve sağlık çalışanlarının ikişer adet vesikalık fotoğrafları,</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13) Tıp merkezinde sağlık insan gücü haricindeki çalışanların, mesul müdür tarafından onaylı isim listesi ve T.C. Kimlik Numaraları,</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14) Tıp merkezinde bulunması zorunlu tıbbi donanımın (cihazlar için marka, seri numarası veya bu numara yerine geçen bilgiler olacak şekilde) ve ilaçların, isim ve sayı olarak belirtilen mesul müdür imzalı listesi,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lastRenderedPageBreak/>
        <w:t xml:space="preserve">    </w:t>
      </w:r>
      <w:r w:rsidRPr="00615F45">
        <w:rPr>
          <w:color w:val="0F243E" w:themeColor="text2" w:themeShade="80"/>
          <w:sz w:val="22"/>
          <w:szCs w:val="22"/>
        </w:rPr>
        <w:tab/>
        <w:t>15) Çamaşırhane ve/veya mutfak hizmetlerinin dışarıdan satın alınması halinde, taraflar arasında yapılan sözleşme/sözleşmelerin mesul müdür tasdikli suretleri ve hizmet veren şirket/şirketlere ait ticaret odası faaliyet belgesi/belgeleri,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 xml:space="preserve">16) Tıbbi Atıkların Kontrolü Yönetmeliğine göre düzenlenmiş tıbbi atık raporu ve tıbbi atıkların </w:t>
      </w:r>
      <w:proofErr w:type="spellStart"/>
      <w:r w:rsidRPr="00615F45">
        <w:rPr>
          <w:color w:val="0F243E" w:themeColor="text2" w:themeShade="80"/>
          <w:sz w:val="22"/>
          <w:szCs w:val="22"/>
        </w:rPr>
        <w:t>bertarafı</w:t>
      </w:r>
      <w:proofErr w:type="spellEnd"/>
      <w:r w:rsidRPr="00615F45">
        <w:rPr>
          <w:color w:val="0F243E" w:themeColor="text2" w:themeShade="80"/>
          <w:sz w:val="22"/>
          <w:szCs w:val="22"/>
        </w:rPr>
        <w:t xml:space="preserve"> için ilgili kurumla yapılmış sözleşme.</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2- POLİKLİNİKLERDE RUHSATNAME BAŞVURUSU </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İÇİN GEREKLİ BELGELER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1) Poliklinik işleteninin, adı veya ticari unvanı ile açmak istediği kuruluşun adını, açık adresini, faaliyet göstereceği uzmanlık dalları ve türünü belirten ve sağlık kuruluşunun açılışı ile ilgili işlemlerinin başlatılmasını talep eden imzalı başvuru dilekçesi,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2) Müstakil binada ise, "sağlık kuruluşu" kaydının gösterildiği yapı kullanma izni belgesi; müstakil binada değil ise, bulunduğu binanın yapı kullanma izni belgesi (yapı kullanma izni belgesinin ilgili belediyesince onaylı örnekleri de olabilir),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3) Poliklinik binası müstakil ise, ilgili mevzuata göre alınmış depreme dayanıklılık raporu,</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 xml:space="preserve">4) Polikliniğin olduğu binada </w:t>
      </w:r>
      <w:proofErr w:type="gramStart"/>
      <w:r w:rsidRPr="00615F45">
        <w:rPr>
          <w:color w:val="0F243E" w:themeColor="text2" w:themeShade="80"/>
          <w:sz w:val="22"/>
          <w:szCs w:val="22"/>
        </w:rPr>
        <w:t>27/11/2007</w:t>
      </w:r>
      <w:proofErr w:type="gramEnd"/>
      <w:r w:rsidRPr="00615F45">
        <w:rPr>
          <w:color w:val="0F243E" w:themeColor="text2" w:themeShade="80"/>
          <w:sz w:val="22"/>
          <w:szCs w:val="22"/>
        </w:rPr>
        <w:t xml:space="preserve"> tarihli ve 2007/12937 sayılı Bakanlar Kurulu Kararı ile kabul edilerek 19/12/2007 tarihli ve 26735 sayılı Resmî Gazete’de yayımlanan Binaların Yangından Korunması Hakkında Yönetmelik hükümlerine uygun şekilde yangın için gerekli tedbirlerin alındığını, tesisatın kurulduğunu ve binanın bu açıdan uygunluğunu ayrıntılı olarak gösteren ve yetkili merciden alınan belge,</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5) Yönetmeliğin 10 uncu maddesinin ikinci fıkrası uyarınca, hasta ve hasta yakınları ile poliklinik çalışanları için üç araçtan az olmamak üzere imar mevzuatına uygun şekilde otopark yeri ayrıldığına dair ilgili belediyeden alınan yazı,</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 xml:space="preserve">6) Polikliniği açacak şirket ortaklarını gösterir ticaret sicili gazetesinin aslı veya aslı görülerek Müdürlük onaylı örneği ile şirket ortaklarının tamamının tabip olduklarını belgelemek üzere ortakların diplomalarının, varsa uzmanlık belgelerinin Müdürlükçe tasdikli suretleri; şirket değil kişiler tarafından açılacak ise, tıp fakültesi diplomaları ve varsa uzmanlık belgelerinin Müdürlükçe tasdikli suretleri,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 xml:space="preserve">7) Yönetmeliğin 25 inci maddesine göre </w:t>
      </w:r>
      <w:proofErr w:type="spellStart"/>
      <w:r w:rsidRPr="00615F45">
        <w:rPr>
          <w:color w:val="0F243E" w:themeColor="text2" w:themeShade="80"/>
          <w:sz w:val="22"/>
          <w:szCs w:val="22"/>
        </w:rPr>
        <w:t>laboratuvar</w:t>
      </w:r>
      <w:proofErr w:type="spellEnd"/>
      <w:r w:rsidRPr="00615F45">
        <w:rPr>
          <w:color w:val="0F243E" w:themeColor="text2" w:themeShade="80"/>
          <w:sz w:val="22"/>
          <w:szCs w:val="22"/>
        </w:rPr>
        <w:t xml:space="preserve"> ile radyoloji hizmetlerinin gerek poliklinik bünyesinde ve gerekse hizmet satın alma yoluyla nasıl yürütüleceğini gösterir belgeler,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r>
      <w:proofErr w:type="gramStart"/>
      <w:r w:rsidRPr="00615F45">
        <w:rPr>
          <w:color w:val="0F243E" w:themeColor="text2" w:themeShade="80"/>
          <w:sz w:val="22"/>
          <w:szCs w:val="22"/>
        </w:rPr>
        <w:t>8) Ambulans hizmeti, Yönetmeliğin 24 üncü maddesinin dokuzuncu fıkrasında gösterilen şekilde verilecek ise buna dair işletenin yazılı ve ıslak imzalı beyanı; kendisine ait tam donanımlı acil yardım ambulansı olması halinde Ambulanslar ve Acil Sağlık Araçları ile Ambulans Hizmetleri Yönetmeliğine göre alınmış Ambulans Uygunluk Belgesinin Müdürlükçe tasdikli sureti; ambulans hizmeti sunan özel bir kuruluş ile sözleşme yapılmış ise, Ambulans Servisi Uygunluk Belgesinin aslı görülerek Müdürlük onaylı örneği, hizmet sözleşmesinin ıslak imzalı veya ıslak imzalı aslı görülerek Müdürlük onaylı örneği;</w:t>
      </w:r>
      <w:proofErr w:type="gramEnd"/>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r>
      <w:proofErr w:type="gramStart"/>
      <w:r w:rsidRPr="00615F45">
        <w:rPr>
          <w:color w:val="0F243E" w:themeColor="text2" w:themeShade="80"/>
          <w:sz w:val="22"/>
          <w:szCs w:val="22"/>
        </w:rPr>
        <w:t xml:space="preserve">9) Mesul müdürün, poliklinikte mesul müdür olarak çalışacağına dair ıslak imzalı veya ıslak imzalı aslı görülerek Müdürlük onaylı mesul müdürlük sözleşmesi örneği; Yönetmeliğin 16 </w:t>
      </w:r>
      <w:proofErr w:type="spellStart"/>
      <w:r w:rsidRPr="00615F45">
        <w:rPr>
          <w:color w:val="0F243E" w:themeColor="text2" w:themeShade="80"/>
          <w:sz w:val="22"/>
          <w:szCs w:val="22"/>
        </w:rPr>
        <w:t>ncı</w:t>
      </w:r>
      <w:proofErr w:type="spellEnd"/>
      <w:r w:rsidRPr="00615F45">
        <w:rPr>
          <w:color w:val="0F243E" w:themeColor="text2" w:themeShade="80"/>
          <w:sz w:val="22"/>
          <w:szCs w:val="22"/>
        </w:rPr>
        <w:t xml:space="preserve"> maddesinin dördüncü fıkrasına göre mesul müdürlük yapmaya engel halinin bulunmadığını gösteren belgeler; mesul müdüre ait diploma ve var ise uzmanlık belgesi, T.C. Kimlik Numarası beyanı ve iki adet vesikalık fotoğraf,</w:t>
      </w:r>
      <w:proofErr w:type="gramEnd"/>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a) Poliklinik işleteni şirket ve ortaklardan başkası şirket müdürü ise, şirket müdürü ile mesul müdür tabip arasında yapılan sözleşme; aksi halde, mesul müdürlük konusunda ortaklar kurulu karar defterinin aslı görülerek Müdürlük onaylı örneği,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b) Poliklinik işleteni gerçek kişiler ise, diğer ortakların mesul müdürlük konusunda yazılı ve imzalı rıza beyanları veya mesul müdürlük yapacak ortak ile diğer ortaklar arasında bu konuda yapılan sözleşme,</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lastRenderedPageBreak/>
        <w:t xml:space="preserve">  </w:t>
      </w:r>
      <w:r w:rsidRPr="00615F45">
        <w:rPr>
          <w:color w:val="0F243E" w:themeColor="text2" w:themeShade="80"/>
          <w:sz w:val="22"/>
          <w:szCs w:val="22"/>
        </w:rPr>
        <w:tab/>
        <w:t>10) Poliklinik ortağı tabipler ile ve poliklinikte çalışacak tabip harici sağlık çalışanlarının ikişer adet vesikalık fotoğrafları,</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11) EK-5’e göre istihdamı zorunlu olan ve tabip harici sağlık çalışanlarının hizmet sözleşmeleri ve diplomaları (diploma ve sözleşmelerin, aslı görülmek şartıyla Müdürlük tasdikli suretleri; istenilir ise sözleşmeler ıslak imzalı verilebilir),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12) Poliklinikte nöbet hizmeti verilecek ise nöbetçi tabibin diploması ve var ise uzmanlık belgesi ile nöbet hizmetine dair sözleşme (diploma/uzmanlık belgesi ve sözleşme, aslı görülmek şartıyla Müdürlük tasdikli suretleri; istenilir ise sözleşme ıslak imzalı verilebilir),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13) Poliklinikte sağlık insan gücü haricindeki çalışanlarının, isimleri ve mesul müdür tarafından onaylanmış isim listesi ve T.C. Kimlik Numaraları,</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14) Poliklinikte bulunması zorunlu tıbbi donanımın (cihazlar için marka, seri numarası veya bu numara yerine geçen bilgiler olacak şekilde) ve ilaçların, isim ve sayı olarak belirtilen mesul müdür imzalı listesi,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  </w:t>
      </w:r>
      <w:r w:rsidRPr="00615F45">
        <w:rPr>
          <w:color w:val="0F243E" w:themeColor="text2" w:themeShade="80"/>
          <w:sz w:val="22"/>
          <w:szCs w:val="22"/>
        </w:rPr>
        <w:tab/>
        <w:t xml:space="preserve">15) Tıbbi Atıkların Kontrolü Yönetmeliğine göre düzenlenmiş tıbbi atık raporu ve tıbbi atıkların </w:t>
      </w:r>
      <w:proofErr w:type="spellStart"/>
      <w:r w:rsidRPr="00615F45">
        <w:rPr>
          <w:color w:val="0F243E" w:themeColor="text2" w:themeShade="80"/>
          <w:sz w:val="22"/>
          <w:szCs w:val="22"/>
        </w:rPr>
        <w:t>bertarafı</w:t>
      </w:r>
      <w:proofErr w:type="spellEnd"/>
      <w:r w:rsidRPr="00615F45">
        <w:rPr>
          <w:color w:val="0F243E" w:themeColor="text2" w:themeShade="80"/>
          <w:sz w:val="22"/>
          <w:szCs w:val="22"/>
        </w:rPr>
        <w:t xml:space="preserve"> için ilgili kurumla yapılmış sözleşme.</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EK-1/b </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SAĞLIK KURULUŞUNUN DEVRİNDE RUHSATNAME</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İÇİN GEREKLİ BELGELER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1) Sağlık kuruluşunun işleteninin adı veya ticari unvanı ile kuruluşun adını, açık adresini, faaliyet göstereceği uzmanlık dalları ve türünü belirten ve sağlık kuruluşunun devri ile ilgili işlemlerinin başlatılmasını talep eden imzalı başvuru dilekçesi,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proofErr w:type="gramStart"/>
      <w:r w:rsidRPr="00615F45">
        <w:rPr>
          <w:color w:val="0F243E" w:themeColor="text2" w:themeShade="80"/>
          <w:sz w:val="22"/>
          <w:szCs w:val="22"/>
        </w:rPr>
        <w:t>2) Sağlık kuruluşunun devrinin yapıldığını gösteren devir sözleşmesi yanında devralan ticaret şirketi ise, şirket ortaklarını gösterir ticaret sicili gazetesinin aslı veya aslı görülerek Müdürlük onaylı örneği; şirket ortaklarının tamamının tabip olduklarını belgelemek üzere ortakların diplomalarının, varsa uzmanlık belgelerinin Müdürlükçe tasdikli suretleri; gerçek kişiler için tıp fakültesi diploması ve var ise uzmanlık belgelerinin Müdürlükçe tasdikli suretleri,</w:t>
      </w:r>
      <w:proofErr w:type="gramEnd"/>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proofErr w:type="gramStart"/>
      <w:r w:rsidRPr="00615F45">
        <w:rPr>
          <w:color w:val="0F243E" w:themeColor="text2" w:themeShade="80"/>
          <w:sz w:val="22"/>
          <w:szCs w:val="22"/>
        </w:rPr>
        <w:t xml:space="preserve">3) Mesul müdürün, sağlık kuruluşunda mesul müdür olarak çalışacağına dair ıslak imzalı veya ıslak imzalı aslı görülerek Müdürlük onaylı mesul müdürlük sözleşmesi örneği; Yönetmeliğin 16 </w:t>
      </w:r>
      <w:proofErr w:type="spellStart"/>
      <w:r w:rsidRPr="00615F45">
        <w:rPr>
          <w:color w:val="0F243E" w:themeColor="text2" w:themeShade="80"/>
          <w:sz w:val="22"/>
          <w:szCs w:val="22"/>
        </w:rPr>
        <w:t>ncı</w:t>
      </w:r>
      <w:proofErr w:type="spellEnd"/>
      <w:r w:rsidRPr="00615F45">
        <w:rPr>
          <w:color w:val="0F243E" w:themeColor="text2" w:themeShade="80"/>
          <w:sz w:val="22"/>
          <w:szCs w:val="22"/>
        </w:rPr>
        <w:t xml:space="preserve"> maddesinin dördüncü fıkrasına göre mesul müdürlük yapmaya engel halinin bulunmadığını gösteren belgeler; mesul müdüre ait diploma ve var ise uzmanlık belgesi, T.C. Kimlik Numarası beyanı ve iki adet vesikalık fotoğraf (Sağlık kuruluşunun türüne göre EK-1/a-1 veya EK-1/a-2’de belirtilen şekilde), </w:t>
      </w:r>
      <w:proofErr w:type="gramEnd"/>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r>
      <w:proofErr w:type="gramStart"/>
      <w:r w:rsidRPr="00615F45">
        <w:rPr>
          <w:color w:val="0F243E" w:themeColor="text2" w:themeShade="80"/>
          <w:sz w:val="22"/>
          <w:szCs w:val="22"/>
        </w:rPr>
        <w:t xml:space="preserve">4-a) Tıp merkezi için EK-1/a-1’deki: Hizmet satın alma halinde 7, 8, 9, 15; sözleşmeler bakımından ve çalışanlarda değişiklik olması halinde yeni çalışanlar için 11, 12 ve 13; tıbbi atıkların </w:t>
      </w:r>
      <w:proofErr w:type="spellStart"/>
      <w:r w:rsidRPr="00615F45">
        <w:rPr>
          <w:color w:val="0F243E" w:themeColor="text2" w:themeShade="80"/>
          <w:sz w:val="22"/>
          <w:szCs w:val="22"/>
        </w:rPr>
        <w:t>bertarafı</w:t>
      </w:r>
      <w:proofErr w:type="spellEnd"/>
      <w:r w:rsidRPr="00615F45">
        <w:rPr>
          <w:color w:val="0F243E" w:themeColor="text2" w:themeShade="80"/>
          <w:sz w:val="22"/>
          <w:szCs w:val="22"/>
        </w:rPr>
        <w:t xml:space="preserve"> için 16 </w:t>
      </w:r>
      <w:proofErr w:type="spellStart"/>
      <w:r w:rsidRPr="00615F45">
        <w:rPr>
          <w:color w:val="0F243E" w:themeColor="text2" w:themeShade="80"/>
          <w:sz w:val="22"/>
          <w:szCs w:val="22"/>
        </w:rPr>
        <w:t>ncı</w:t>
      </w:r>
      <w:proofErr w:type="spellEnd"/>
      <w:r w:rsidRPr="00615F45">
        <w:rPr>
          <w:color w:val="0F243E" w:themeColor="text2" w:themeShade="80"/>
          <w:sz w:val="22"/>
          <w:szCs w:val="22"/>
        </w:rPr>
        <w:t xml:space="preserve"> maddelerde sözü edilen belgeler (devralan adına EK-1/a-1’de belirtilen şekilde düzenlenmesi),</w:t>
      </w:r>
      <w:proofErr w:type="gramEnd"/>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b) Poliklinik için EK-1/a-2’deki: 7, 8; poliklinik ortağı tabiplerin ikişer adet vesikalık fotoğrafları; sözleşmeler bakımından ve çalışanlarda değişiklik var ise yeni çalışanlar için 10, 11, 12 ve 13; atıkların </w:t>
      </w:r>
      <w:proofErr w:type="spellStart"/>
      <w:r w:rsidRPr="00615F45">
        <w:rPr>
          <w:color w:val="0F243E" w:themeColor="text2" w:themeShade="80"/>
          <w:sz w:val="22"/>
          <w:szCs w:val="22"/>
        </w:rPr>
        <w:t>bertarafı</w:t>
      </w:r>
      <w:proofErr w:type="spellEnd"/>
      <w:r w:rsidRPr="00615F45">
        <w:rPr>
          <w:color w:val="0F243E" w:themeColor="text2" w:themeShade="80"/>
          <w:sz w:val="22"/>
          <w:szCs w:val="22"/>
        </w:rPr>
        <w:t xml:space="preserve"> için 15 inci maddelerde sözü edilen belgeler (devralan adına EK-1/a-2’de belirtilen şekilde düzenlenmesi).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NOT: Sağlık çalışanı değişikliği yok ise diplomalar hariçtir.</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EK-1/c </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xml:space="preserve">SAĞLIK KURULUŞUNUN BAŞKA YERE NAKLİ DURUMUNDA </w:t>
      </w:r>
    </w:p>
    <w:p w:rsidR="00615F45" w:rsidRPr="00615F45" w:rsidRDefault="00615F45" w:rsidP="00615F45">
      <w:pPr>
        <w:pStyle w:val="2-ortabaslk"/>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İSTENECEK BELGELER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1) Sağlık kuruluşunun işleteninin adı veya ticari unvanı ile kuruluşun adını, açık adresini, faaliyet göstereceği uzmanlık dalları ve türünü belirten ve sağlık kuruluşunun nakli ile ilgili işlemlerinin başlatılmasını talep eden imzalı başvuru dilekçesi,</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lastRenderedPageBreak/>
        <w:tab/>
        <w:t xml:space="preserve">2) Tıp merkezleri için, Bakanlıkça verilmiş ön izin belgesi ve ön izne esas mimari proje; poliklinikler için, oda esasında bütün </w:t>
      </w:r>
      <w:proofErr w:type="gramStart"/>
      <w:r w:rsidRPr="00615F45">
        <w:rPr>
          <w:color w:val="0F243E" w:themeColor="text2" w:themeShade="80"/>
          <w:sz w:val="22"/>
          <w:szCs w:val="22"/>
        </w:rPr>
        <w:t>mekanlarının</w:t>
      </w:r>
      <w:proofErr w:type="gramEnd"/>
      <w:r w:rsidRPr="00615F45">
        <w:rPr>
          <w:color w:val="0F243E" w:themeColor="text2" w:themeShade="80"/>
          <w:sz w:val="22"/>
          <w:szCs w:val="22"/>
        </w:rPr>
        <w:t xml:space="preserve"> ne amaçla kullanılacağını gösterir en az 1/100 ölçekli ve Müdürlük tarafından yerinde bizzat görülerek doğruluğu onaylanmış plan örneği,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3) Tıp merkezi için, tıp merkezi veya özel sağlık tesisi yapı kullanma izni belgesi; poliklinik için, müstakil binada ise sağlık kuruluşu kaydı olan, müstakil binada değil ise binanın yapı kullanma izni belgesi aslı </w:t>
      </w:r>
      <w:proofErr w:type="gramStart"/>
      <w:r w:rsidRPr="00615F45">
        <w:rPr>
          <w:color w:val="0F243E" w:themeColor="text2" w:themeShade="80"/>
          <w:sz w:val="22"/>
          <w:szCs w:val="22"/>
        </w:rPr>
        <w:t>veya  ilgili</w:t>
      </w:r>
      <w:proofErr w:type="gramEnd"/>
      <w:r w:rsidRPr="00615F45">
        <w:rPr>
          <w:color w:val="0F243E" w:themeColor="text2" w:themeShade="80"/>
          <w:sz w:val="22"/>
          <w:szCs w:val="22"/>
        </w:rPr>
        <w:t xml:space="preserve"> belediyesince onaylı örneği;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 xml:space="preserve">4) Sağlık kuruluşunun olduğu binada </w:t>
      </w:r>
      <w:proofErr w:type="gramStart"/>
      <w:r w:rsidRPr="00615F45">
        <w:rPr>
          <w:color w:val="0F243E" w:themeColor="text2" w:themeShade="80"/>
          <w:sz w:val="22"/>
          <w:szCs w:val="22"/>
        </w:rPr>
        <w:t>27/11/2007</w:t>
      </w:r>
      <w:proofErr w:type="gramEnd"/>
      <w:r w:rsidRPr="00615F45">
        <w:rPr>
          <w:color w:val="0F243E" w:themeColor="text2" w:themeShade="80"/>
          <w:sz w:val="22"/>
          <w:szCs w:val="22"/>
        </w:rPr>
        <w:t xml:space="preserve"> tarihli ve 2007/12937 sayılı Bakanlar Kurulu Kararı ile kabul edilerek 19/12/2007 tarihli ve 26735 sayılı Resmî Gazete’de yayımlanan Binaların Yangından Korunması Hakkında Yönetmelik hükümlerine uygun şekilde yangın için gerekli tedbirlerin alındığını, tesisatın kurulduğunu ve binanın bu açıdan uygunluğunu ayrıntılı olarak gösteren ve yetkili merciden alınan belge,</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5) Tıp merkezi ve müstakil binada olacak poliklinik binasının ilgili mevzuata göre alınmış depreme dayanıklılık raporu,</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6) EK-1/a-1 ve 2’de yer alan diğer hususlarda değişiklik var ise bu belgeler,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ab/>
        <w:t>7) Sağlık kuruluşunda çalışacak tabipler ve diğer sağlık çalışanları ile ilgili değişiklik var ise, bunun için EK-1/a-1 ve 2’de sağlık çalışanları bakımından yer alan belgeler.</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r w:rsidRPr="00615F45">
        <w:rPr>
          <w:color w:val="0F243E" w:themeColor="text2" w:themeShade="80"/>
          <w:sz w:val="22"/>
          <w:szCs w:val="22"/>
        </w:rPr>
        <w:t> </w:t>
      </w:r>
    </w:p>
    <w:p w:rsidR="00615F45" w:rsidRPr="00615F45" w:rsidRDefault="00615F45" w:rsidP="00615F45">
      <w:pPr>
        <w:pStyle w:val="3-normalyaz"/>
        <w:spacing w:before="0" w:beforeAutospacing="0" w:after="0" w:afterAutospacing="0" w:line="276" w:lineRule="auto"/>
        <w:rPr>
          <w:color w:val="0F243E" w:themeColor="text2" w:themeShade="80"/>
          <w:sz w:val="22"/>
          <w:szCs w:val="22"/>
        </w:rPr>
      </w:pPr>
      <w:hyperlink r:id="rId4" w:history="1">
        <w:r w:rsidRPr="00615F45">
          <w:rPr>
            <w:rStyle w:val="Kpr"/>
            <w:b/>
            <w:color w:val="0F243E" w:themeColor="text2" w:themeShade="80"/>
            <w:sz w:val="22"/>
            <w:szCs w:val="22"/>
          </w:rPr>
          <w:t>Ekler için tıklayınız</w:t>
        </w:r>
      </w:hyperlink>
    </w:p>
    <w:p w:rsidR="00615F45" w:rsidRPr="00615F45" w:rsidRDefault="00615F45" w:rsidP="0083768A">
      <w:pPr>
        <w:spacing w:after="0"/>
        <w:jc w:val="both"/>
        <w:rPr>
          <w:rFonts w:ascii="Times New Roman" w:eastAsia="Times New Roman" w:hAnsi="Times New Roman" w:cs="Times New Roman"/>
          <w:color w:val="0F243E" w:themeColor="text2" w:themeShade="80"/>
          <w:lang w:eastAsia="tr-TR"/>
        </w:rPr>
      </w:pPr>
    </w:p>
    <w:sectPr w:rsidR="00615F45" w:rsidRPr="00615F4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4309C"/>
    <w:rsid w:val="000A2089"/>
    <w:rsid w:val="00113994"/>
    <w:rsid w:val="00120A0B"/>
    <w:rsid w:val="0015545E"/>
    <w:rsid w:val="001E46ED"/>
    <w:rsid w:val="002329E7"/>
    <w:rsid w:val="00262A97"/>
    <w:rsid w:val="00297F3E"/>
    <w:rsid w:val="002C7984"/>
    <w:rsid w:val="00307C66"/>
    <w:rsid w:val="00390584"/>
    <w:rsid w:val="003920C5"/>
    <w:rsid w:val="003A3BDC"/>
    <w:rsid w:val="0041673F"/>
    <w:rsid w:val="0042547D"/>
    <w:rsid w:val="00561493"/>
    <w:rsid w:val="005A1E5D"/>
    <w:rsid w:val="00615F45"/>
    <w:rsid w:val="00627628"/>
    <w:rsid w:val="0065699B"/>
    <w:rsid w:val="006600FC"/>
    <w:rsid w:val="00762A54"/>
    <w:rsid w:val="007C446A"/>
    <w:rsid w:val="007C4F56"/>
    <w:rsid w:val="007E20CF"/>
    <w:rsid w:val="0083768A"/>
    <w:rsid w:val="00906C2F"/>
    <w:rsid w:val="00A473C1"/>
    <w:rsid w:val="00A608EF"/>
    <w:rsid w:val="00A60F27"/>
    <w:rsid w:val="00A80ABC"/>
    <w:rsid w:val="00B12A31"/>
    <w:rsid w:val="00B62C45"/>
    <w:rsid w:val="00B65EC6"/>
    <w:rsid w:val="00BB7DD7"/>
    <w:rsid w:val="00BC636F"/>
    <w:rsid w:val="00BF6AFE"/>
    <w:rsid w:val="00CE447A"/>
    <w:rsid w:val="00E2215E"/>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A3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BDC"/>
    <w:rPr>
      <w:rFonts w:ascii="Tahoma" w:hAnsi="Tahoma" w:cs="Tahoma"/>
      <w:sz w:val="16"/>
      <w:szCs w:val="16"/>
    </w:rPr>
  </w:style>
  <w:style w:type="paragraph" w:styleId="DipnotMetni">
    <w:name w:val="footnote text"/>
    <w:basedOn w:val="Normal"/>
    <w:link w:val="Dipnot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E2215E"/>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E2215E"/>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A608E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10/03/AYAKTA%20TE&#350;H&#304;S%20EKLER.r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3235</Words>
  <Characters>18444</Characters>
  <Application>Microsoft Office Word</Application>
  <DocSecurity>0</DocSecurity>
  <Lines>153</Lines>
  <Paragraphs>43</Paragraphs>
  <ScaleCrop>false</ScaleCrop>
  <Company>TURMOB</Company>
  <LinksUpToDate>false</LinksUpToDate>
  <CharactersWithSpaces>21636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40</cp:revision>
  <dcterms:created xsi:type="dcterms:W3CDTF">2010-03-02T06:25:00Z</dcterms:created>
  <dcterms:modified xsi:type="dcterms:W3CDTF">2010-03-10T06:41:00Z</dcterms:modified>
</cp:coreProperties>
</file>