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96D98" w:rsidRDefault="00627628" w:rsidP="00E2215E">
      <w:pPr>
        <w:spacing w:after="0" w:line="240" w:lineRule="auto"/>
        <w:rPr>
          <w:rFonts w:ascii="Times New Roman" w:hAnsi="Times New Roman" w:cs="Times New Roman"/>
          <w:color w:val="0F243E" w:themeColor="text2" w:themeShade="80"/>
        </w:rPr>
      </w:pPr>
    </w:p>
    <w:p w:rsidR="007C446A" w:rsidRPr="00B96D98" w:rsidRDefault="00B96D98" w:rsidP="00E2215E">
      <w:pPr>
        <w:spacing w:after="0" w:line="240" w:lineRule="auto"/>
        <w:rPr>
          <w:rFonts w:ascii="Times New Roman" w:hAnsi="Times New Roman" w:cs="Times New Roman"/>
          <w:b/>
          <w:color w:val="0F243E" w:themeColor="text2" w:themeShade="80"/>
          <w:u w:val="single"/>
        </w:rPr>
      </w:pPr>
      <w:r w:rsidRPr="00B96D98">
        <w:rPr>
          <w:rFonts w:ascii="Times New Roman" w:hAnsi="Times New Roman" w:cs="Times New Roman"/>
          <w:b/>
          <w:color w:val="0F243E" w:themeColor="text2" w:themeShade="80"/>
          <w:u w:val="single"/>
        </w:rPr>
        <w:t>11</w:t>
      </w:r>
      <w:r w:rsidR="007C446A" w:rsidRPr="00B96D98">
        <w:rPr>
          <w:rFonts w:ascii="Times New Roman" w:hAnsi="Times New Roman" w:cs="Times New Roman"/>
          <w:b/>
          <w:color w:val="0F243E" w:themeColor="text2" w:themeShade="80"/>
          <w:u w:val="single"/>
        </w:rPr>
        <w:t>.03,</w:t>
      </w:r>
      <w:r w:rsidRPr="00B96D98">
        <w:rPr>
          <w:rFonts w:ascii="Times New Roman" w:hAnsi="Times New Roman" w:cs="Times New Roman"/>
          <w:b/>
          <w:color w:val="0F243E" w:themeColor="text2" w:themeShade="80"/>
          <w:u w:val="single"/>
        </w:rPr>
        <w:t>2010, Salı</w:t>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r w:rsidRPr="00B96D98">
        <w:rPr>
          <w:rFonts w:ascii="Times New Roman" w:hAnsi="Times New Roman" w:cs="Times New Roman"/>
          <w:b/>
          <w:color w:val="0F243E" w:themeColor="text2" w:themeShade="80"/>
          <w:u w:val="single"/>
        </w:rPr>
        <w:tab/>
      </w:r>
      <w:proofErr w:type="gramStart"/>
      <w:r w:rsidRPr="00B96D98">
        <w:rPr>
          <w:rFonts w:ascii="Times New Roman" w:hAnsi="Times New Roman" w:cs="Times New Roman"/>
          <w:b/>
          <w:color w:val="0F243E" w:themeColor="text2" w:themeShade="80"/>
          <w:u w:val="single"/>
        </w:rPr>
        <w:t>Sayı : 27518</w:t>
      </w:r>
      <w:proofErr w:type="gramEnd"/>
    </w:p>
    <w:p w:rsidR="00262A97" w:rsidRPr="00B96D98" w:rsidRDefault="00262A97" w:rsidP="00E2215E">
      <w:pPr>
        <w:spacing w:after="0" w:line="240" w:lineRule="auto"/>
        <w:rPr>
          <w:rFonts w:ascii="Times New Roman" w:hAnsi="Times New Roman" w:cs="Times New Roman"/>
          <w:b/>
          <w:color w:val="0F243E" w:themeColor="text2" w:themeShade="80"/>
          <w:u w:val="single"/>
        </w:rPr>
      </w:pPr>
    </w:p>
    <w:p w:rsidR="00E34720" w:rsidRPr="00B96D98" w:rsidRDefault="0083768A" w:rsidP="00B96D98">
      <w:pPr>
        <w:pStyle w:val="NormalWeb"/>
        <w:spacing w:before="0" w:beforeAutospacing="0" w:after="0" w:afterAutospacing="0" w:line="276" w:lineRule="auto"/>
        <w:rPr>
          <w:b/>
          <w:color w:val="0F243E" w:themeColor="text2" w:themeShade="80"/>
          <w:sz w:val="22"/>
          <w:szCs w:val="22"/>
        </w:rPr>
      </w:pPr>
      <w:r w:rsidRPr="00B96D98">
        <w:rPr>
          <w:b/>
          <w:color w:val="0F243E" w:themeColor="text2" w:themeShade="80"/>
          <w:sz w:val="22"/>
          <w:szCs w:val="22"/>
        </w:rPr>
        <w:t> </w:t>
      </w:r>
    </w:p>
    <w:p w:rsidR="00B96D98" w:rsidRPr="00B96D98" w:rsidRDefault="00B96D98" w:rsidP="00B96D98">
      <w:pPr>
        <w:pStyle w:val="NormalWeb"/>
        <w:spacing w:before="0" w:beforeAutospacing="0" w:after="0" w:afterAutospacing="0" w:line="276" w:lineRule="auto"/>
        <w:rPr>
          <w:b/>
          <w:sz w:val="22"/>
          <w:szCs w:val="22"/>
        </w:rPr>
      </w:pPr>
      <w:r w:rsidRPr="00B96D98">
        <w:rPr>
          <w:b/>
          <w:sz w:val="22"/>
          <w:szCs w:val="22"/>
        </w:rPr>
        <w:t>Türkiye Cumhuriyet Merkez Bankasından:</w:t>
      </w:r>
    </w:p>
    <w:p w:rsidR="00B96D98" w:rsidRPr="00B96D98" w:rsidRDefault="00B96D98" w:rsidP="00B96D98">
      <w:pPr>
        <w:pStyle w:val="2-ortabaslk"/>
        <w:spacing w:before="0" w:beforeAutospacing="0" w:after="0" w:afterAutospacing="0" w:line="276" w:lineRule="auto"/>
        <w:rPr>
          <w:sz w:val="22"/>
          <w:szCs w:val="22"/>
        </w:rPr>
      </w:pPr>
      <w:r w:rsidRPr="00B96D98">
        <w:rPr>
          <w:sz w:val="22"/>
          <w:szCs w:val="22"/>
        </w:rPr>
        <w:t> </w:t>
      </w:r>
    </w:p>
    <w:p w:rsidR="00B96D98" w:rsidRPr="00B96D98" w:rsidRDefault="00B96D98" w:rsidP="00B96D98">
      <w:pPr>
        <w:pStyle w:val="2-ortabaslk"/>
        <w:spacing w:before="0" w:beforeAutospacing="0" w:after="0" w:afterAutospacing="0" w:line="276" w:lineRule="auto"/>
        <w:jc w:val="center"/>
        <w:rPr>
          <w:sz w:val="22"/>
          <w:szCs w:val="22"/>
        </w:rPr>
      </w:pPr>
      <w:r w:rsidRPr="00B96D98">
        <w:rPr>
          <w:b/>
          <w:bCs/>
          <w:sz w:val="22"/>
          <w:szCs w:val="22"/>
        </w:rPr>
        <w:t>BANKALAR VE DİĞER MALİ KURULUŞLARIN MÜŞTERİLERİNİN RİSK</w:t>
      </w:r>
    </w:p>
    <w:p w:rsidR="00B96D98" w:rsidRPr="00B96D98" w:rsidRDefault="00B96D98" w:rsidP="00B96D98">
      <w:pPr>
        <w:pStyle w:val="2-ortabaslk"/>
        <w:spacing w:before="0" w:beforeAutospacing="0" w:after="0" w:afterAutospacing="0" w:line="276" w:lineRule="auto"/>
        <w:jc w:val="center"/>
        <w:rPr>
          <w:sz w:val="22"/>
          <w:szCs w:val="22"/>
        </w:rPr>
      </w:pPr>
      <w:r w:rsidRPr="00B96D98">
        <w:rPr>
          <w:b/>
          <w:bCs/>
          <w:sz w:val="22"/>
          <w:szCs w:val="22"/>
        </w:rPr>
        <w:t>İŞLEMLERİ HAKKINDA YÖNETMELİKTE DEĞİŞİKLİK</w:t>
      </w:r>
    </w:p>
    <w:p w:rsidR="00B96D98" w:rsidRPr="00B96D98" w:rsidRDefault="00B96D98" w:rsidP="00B96D98">
      <w:pPr>
        <w:pStyle w:val="2-ortabaslk"/>
        <w:spacing w:before="0" w:beforeAutospacing="0" w:after="0" w:afterAutospacing="0" w:line="276" w:lineRule="auto"/>
        <w:jc w:val="center"/>
        <w:rPr>
          <w:sz w:val="22"/>
          <w:szCs w:val="22"/>
        </w:rPr>
      </w:pPr>
      <w:r w:rsidRPr="00B96D98">
        <w:rPr>
          <w:b/>
          <w:bCs/>
          <w:sz w:val="22"/>
          <w:szCs w:val="22"/>
        </w:rPr>
        <w:t>YAPILMASINA DAİR YÖNETMELİK</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 </w:t>
      </w:r>
    </w:p>
    <w:p w:rsidR="00B96D98" w:rsidRPr="00B96D98" w:rsidRDefault="00B96D98" w:rsidP="00B96D98">
      <w:pPr>
        <w:pStyle w:val="3-normalyaz"/>
        <w:spacing w:before="0" w:beforeAutospacing="0" w:after="0" w:afterAutospacing="0" w:line="276" w:lineRule="auto"/>
        <w:rPr>
          <w:sz w:val="22"/>
          <w:szCs w:val="22"/>
        </w:rPr>
      </w:pPr>
      <w:r w:rsidRPr="00B96D98">
        <w:rPr>
          <w:b/>
          <w:sz w:val="22"/>
          <w:szCs w:val="22"/>
        </w:rPr>
        <w:t>MADDE 1 –</w:t>
      </w:r>
      <w:r w:rsidRPr="00B96D98">
        <w:rPr>
          <w:sz w:val="22"/>
          <w:szCs w:val="22"/>
        </w:rPr>
        <w:t xml:space="preserve"> </w:t>
      </w:r>
      <w:proofErr w:type="gramStart"/>
      <w:r w:rsidRPr="00B96D98">
        <w:rPr>
          <w:rStyle w:val="grame"/>
          <w:sz w:val="22"/>
          <w:szCs w:val="22"/>
        </w:rPr>
        <w:t>20/9/2007</w:t>
      </w:r>
      <w:proofErr w:type="gramEnd"/>
      <w:r w:rsidRPr="00B96D98">
        <w:rPr>
          <w:sz w:val="22"/>
          <w:szCs w:val="22"/>
        </w:rPr>
        <w:t xml:space="preserve"> tarihli ve 26649 sayılı Resmi Gazete’de yayımlanan Bankalar ve Diğer Mali Kuruluşların Müşterilerinin Risk İşlemleri Hakkında Yönetmeliğin Üçüncü Bölümünün başlığı “Protestolu Senet ve Karşılıksız Çek İşlemleri” olarak değiştirilmiş ve aynı Yönetmeliğe 7 </w:t>
      </w:r>
      <w:proofErr w:type="spellStart"/>
      <w:r w:rsidRPr="00B96D98">
        <w:rPr>
          <w:rStyle w:val="spelle"/>
          <w:sz w:val="22"/>
          <w:szCs w:val="22"/>
        </w:rPr>
        <w:t>nci</w:t>
      </w:r>
      <w:proofErr w:type="spellEnd"/>
      <w:r w:rsidRPr="00B96D98">
        <w:rPr>
          <w:sz w:val="22"/>
          <w:szCs w:val="22"/>
        </w:rPr>
        <w:t xml:space="preserve"> maddeden sonra gelmek üzere aşağıdaki 7/A maddesi eklenmiştir.</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ab/>
      </w:r>
    </w:p>
    <w:p w:rsidR="00B96D98" w:rsidRPr="00B96D98" w:rsidRDefault="00B96D98" w:rsidP="00B96D98">
      <w:pPr>
        <w:pStyle w:val="3-normalyaz"/>
        <w:spacing w:before="0" w:beforeAutospacing="0" w:after="0" w:afterAutospacing="0" w:line="276" w:lineRule="auto"/>
        <w:rPr>
          <w:sz w:val="22"/>
          <w:szCs w:val="22"/>
        </w:rPr>
      </w:pPr>
      <w:r w:rsidRPr="00B96D98">
        <w:rPr>
          <w:b/>
          <w:sz w:val="22"/>
          <w:szCs w:val="22"/>
        </w:rPr>
        <w:t>“Karşılıksız çeklere ilişkin bilgi değişimi</w:t>
      </w:r>
    </w:p>
    <w:p w:rsidR="00B96D98" w:rsidRPr="00B96D98" w:rsidRDefault="00B96D98" w:rsidP="00B96D98">
      <w:pPr>
        <w:pStyle w:val="3-normalyaz"/>
        <w:spacing w:before="0" w:beforeAutospacing="0" w:after="0" w:afterAutospacing="0" w:line="276" w:lineRule="auto"/>
        <w:rPr>
          <w:sz w:val="22"/>
          <w:szCs w:val="22"/>
        </w:rPr>
      </w:pPr>
      <w:r w:rsidRPr="00B96D98">
        <w:rPr>
          <w:b/>
          <w:sz w:val="22"/>
          <w:szCs w:val="22"/>
        </w:rPr>
        <w:br/>
        <w:t>MADDE 7/A –</w:t>
      </w:r>
      <w:r w:rsidRPr="00B96D98">
        <w:rPr>
          <w:sz w:val="22"/>
          <w:szCs w:val="22"/>
        </w:rPr>
        <w:t xml:space="preserve"> (1) Muhatap banka, çekle ilgili olarak karşılıksız işleminin yapılması halinde ödenmeyen çekler ve hesap sahibiyle ilgili bilgileri, ibraz tarihinden itibaren on gün içinde Merkez Bankasına bildirir. Bu bildirimden sonra çek tutarının hamile veya hamile ödenmek üzere muhatap bankaya ödenmesi de, muhatap banka tarafından ödeme tarihinden itibaren on gün içinde Merkez Bankasına bildirilir.</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ab/>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(2) Karşılıksız çek bilgilerinin bildirilmesine ilişkin usul ve esaslar Merkez Bankasınca belirlenir.</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br/>
        <w:t xml:space="preserve">(3) Merkez Bankası, bu </w:t>
      </w:r>
      <w:proofErr w:type="gramStart"/>
      <w:r w:rsidRPr="00B96D98">
        <w:rPr>
          <w:rStyle w:val="grame"/>
          <w:sz w:val="22"/>
          <w:szCs w:val="22"/>
        </w:rPr>
        <w:t>maddenin  birinci</w:t>
      </w:r>
      <w:proofErr w:type="gramEnd"/>
      <w:r w:rsidRPr="00B96D98">
        <w:rPr>
          <w:sz w:val="22"/>
          <w:szCs w:val="22"/>
        </w:rPr>
        <w:t xml:space="preserve"> fıkrası hükümleri uyarınca kendisine yapılan bildirimleri ulaşma tarihinden itibaren </w:t>
      </w:r>
      <w:proofErr w:type="spellStart"/>
      <w:r w:rsidRPr="00B96D98">
        <w:rPr>
          <w:rStyle w:val="spelle"/>
          <w:sz w:val="22"/>
          <w:szCs w:val="22"/>
        </w:rPr>
        <w:t>onbeş</w:t>
      </w:r>
      <w:proofErr w:type="spellEnd"/>
      <w:r w:rsidRPr="00B96D98">
        <w:rPr>
          <w:sz w:val="22"/>
          <w:szCs w:val="22"/>
        </w:rPr>
        <w:t xml:space="preserve"> gün içinde bankalara, finansal kiralama şirketlerine, </w:t>
      </w:r>
      <w:proofErr w:type="spellStart"/>
      <w:r w:rsidRPr="00B96D98">
        <w:rPr>
          <w:rStyle w:val="spelle"/>
          <w:sz w:val="22"/>
          <w:szCs w:val="22"/>
        </w:rPr>
        <w:t>faktoring</w:t>
      </w:r>
      <w:proofErr w:type="spellEnd"/>
      <w:r w:rsidRPr="00B96D98">
        <w:rPr>
          <w:sz w:val="22"/>
          <w:szCs w:val="22"/>
        </w:rPr>
        <w:t xml:space="preserve"> şirketlerine, finansman şirketlerine ve Kredi Garanti Fonu İşletme ve Araştırma Anonim Şirketine duyurur.”</w:t>
      </w:r>
    </w:p>
    <w:p w:rsidR="00B96D98" w:rsidRPr="00B96D98" w:rsidRDefault="00B96D98" w:rsidP="00B96D98">
      <w:pPr>
        <w:pStyle w:val="3-normalyaz"/>
        <w:spacing w:before="0" w:beforeAutospacing="0" w:after="0" w:afterAutospacing="0" w:line="276" w:lineRule="auto"/>
        <w:rPr>
          <w:sz w:val="22"/>
          <w:szCs w:val="22"/>
        </w:rPr>
      </w:pPr>
      <w:r w:rsidRPr="00B96D98">
        <w:rPr>
          <w:b/>
          <w:sz w:val="22"/>
          <w:szCs w:val="22"/>
        </w:rPr>
        <w:br/>
        <w:t>MADDE 2 –</w:t>
      </w:r>
      <w:r w:rsidRPr="00B96D98">
        <w:rPr>
          <w:sz w:val="22"/>
          <w:szCs w:val="22"/>
        </w:rPr>
        <w:t xml:space="preserve"> Aynı Yönetmeliğin 9 uncu </w:t>
      </w:r>
      <w:proofErr w:type="gramStart"/>
      <w:r w:rsidRPr="00B96D98">
        <w:rPr>
          <w:rStyle w:val="grame"/>
          <w:sz w:val="22"/>
          <w:szCs w:val="22"/>
        </w:rPr>
        <w:t>maddesinin  ikinci</w:t>
      </w:r>
      <w:proofErr w:type="gramEnd"/>
      <w:r w:rsidRPr="00B96D98">
        <w:rPr>
          <w:sz w:val="22"/>
          <w:szCs w:val="22"/>
        </w:rPr>
        <w:t xml:space="preserve"> ve üçüncü fıkraları aşağıdaki şekilde değiştirilmiştir.</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ab/>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“(2) Merkez Bankası, protestolu senet bilgileri, kredi limit ve risk bilgileri ile karşılıksız çek bilgilerini kamuyu aydınlatmak amacıyla kullanabilir.”</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br/>
        <w:t xml:space="preserve">“(3) Gerçek ve tüzel kişilere ait Merkez Bankası </w:t>
      </w:r>
      <w:proofErr w:type="spellStart"/>
      <w:r w:rsidRPr="00B96D98">
        <w:rPr>
          <w:rStyle w:val="spelle"/>
          <w:sz w:val="22"/>
          <w:szCs w:val="22"/>
        </w:rPr>
        <w:t>nezdindeki</w:t>
      </w:r>
      <w:proofErr w:type="spellEnd"/>
      <w:r w:rsidRPr="00B96D98">
        <w:rPr>
          <w:sz w:val="22"/>
          <w:szCs w:val="22"/>
        </w:rPr>
        <w:t xml:space="preserve"> kredi limit ve risk bilgileri, protestolu senet bilgileri ile karşılıksız çek bilgileri talepleri halinde Merkez Bankası tarafından kendilerine verilebilir.”</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ab/>
      </w:r>
    </w:p>
    <w:p w:rsidR="00B96D98" w:rsidRPr="00B96D98" w:rsidRDefault="00B96D98" w:rsidP="00B96D98">
      <w:pPr>
        <w:pStyle w:val="3-normalyaz"/>
        <w:spacing w:before="0" w:beforeAutospacing="0" w:after="0" w:afterAutospacing="0" w:line="276" w:lineRule="auto"/>
        <w:rPr>
          <w:sz w:val="22"/>
          <w:szCs w:val="22"/>
        </w:rPr>
      </w:pPr>
      <w:r w:rsidRPr="00B96D98">
        <w:rPr>
          <w:b/>
          <w:sz w:val="22"/>
          <w:szCs w:val="22"/>
        </w:rPr>
        <w:t xml:space="preserve">MADDE 3 – </w:t>
      </w:r>
      <w:r w:rsidRPr="00B96D98">
        <w:rPr>
          <w:sz w:val="22"/>
          <w:szCs w:val="22"/>
        </w:rPr>
        <w:t>Bu Yönetmelik yayımı tarihinde yürürlüğe girer.</w:t>
      </w:r>
    </w:p>
    <w:p w:rsidR="00B96D98" w:rsidRPr="00B96D98" w:rsidRDefault="00B96D98" w:rsidP="00B96D98">
      <w:pPr>
        <w:pStyle w:val="3-normalyaz"/>
        <w:spacing w:before="0" w:beforeAutospacing="0" w:after="0" w:afterAutospacing="0" w:line="276" w:lineRule="auto"/>
        <w:rPr>
          <w:sz w:val="22"/>
          <w:szCs w:val="22"/>
        </w:rPr>
      </w:pPr>
      <w:r w:rsidRPr="00B96D98">
        <w:rPr>
          <w:b/>
          <w:sz w:val="22"/>
          <w:szCs w:val="22"/>
        </w:rPr>
        <w:br/>
        <w:t xml:space="preserve">MADDE 4 – </w:t>
      </w:r>
      <w:r w:rsidRPr="00B96D98">
        <w:rPr>
          <w:sz w:val="22"/>
          <w:szCs w:val="22"/>
        </w:rPr>
        <w:t>Bu Yönetmelik hükümlerini Türkiye Cumhuriyet Merkez Bankası Başkanı yürütür.</w:t>
      </w:r>
    </w:p>
    <w:p w:rsidR="00B96D98" w:rsidRPr="00B96D98" w:rsidRDefault="00B96D98" w:rsidP="00B96D98">
      <w:pPr>
        <w:pStyle w:val="3-normalyaz"/>
        <w:spacing w:before="0" w:beforeAutospacing="0" w:after="0" w:afterAutospacing="0" w:line="276" w:lineRule="auto"/>
        <w:rPr>
          <w:sz w:val="22"/>
          <w:szCs w:val="22"/>
        </w:rPr>
      </w:pPr>
      <w:r w:rsidRPr="00B96D98">
        <w:rPr>
          <w:sz w:val="22"/>
          <w:szCs w:val="22"/>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4"/>
        <w:gridCol w:w="4759"/>
      </w:tblGrid>
      <w:tr w:rsidR="00B96D98" w:rsidRPr="00B96D98">
        <w:trPr>
          <w:trHeight w:val="285"/>
          <w:jc w:val="center"/>
        </w:trPr>
        <w:tc>
          <w:tcPr>
            <w:tcW w:w="9133" w:type="dxa"/>
            <w:gridSpan w:val="2"/>
            <w:tcBorders>
              <w:top w:val="single" w:sz="4" w:space="0" w:color="auto"/>
              <w:left w:val="single" w:sz="4" w:space="0" w:color="auto"/>
              <w:bottom w:val="nil"/>
              <w:right w:val="single" w:sz="4" w:space="0" w:color="auto"/>
            </w:tcBorders>
            <w:hideMark/>
          </w:tcPr>
          <w:p w:rsidR="00B96D98" w:rsidRPr="00B96D98" w:rsidRDefault="00B96D98">
            <w:pPr>
              <w:jc w:val="center"/>
              <w:rPr>
                <w:rFonts w:ascii="Times New Roman" w:hAnsi="Times New Roman" w:cs="Times New Roman"/>
                <w:color w:val="000000"/>
              </w:rPr>
            </w:pPr>
            <w:proofErr w:type="spellStart"/>
            <w:r w:rsidRPr="00B96D98">
              <w:rPr>
                <w:rStyle w:val="spelle"/>
                <w:rFonts w:ascii="Times New Roman" w:hAnsi="Times New Roman" w:cs="Times New Roman"/>
                <w:b/>
                <w:lang w:val="en-GB"/>
              </w:rPr>
              <w:t>Yönetmeliğin</w:t>
            </w:r>
            <w:proofErr w:type="spellEnd"/>
            <w:r w:rsidRPr="00B96D98">
              <w:rPr>
                <w:rFonts w:ascii="Times New Roman" w:hAnsi="Times New Roman" w:cs="Times New Roman"/>
                <w:b/>
                <w:lang w:val="en-GB"/>
              </w:rPr>
              <w:t xml:space="preserve"> </w:t>
            </w:r>
            <w:proofErr w:type="spellStart"/>
            <w:r w:rsidRPr="00B96D98">
              <w:rPr>
                <w:rStyle w:val="spelle"/>
                <w:rFonts w:ascii="Times New Roman" w:hAnsi="Times New Roman" w:cs="Times New Roman"/>
                <w:b/>
                <w:lang w:val="en-GB"/>
              </w:rPr>
              <w:t>Yayımlandığı</w:t>
            </w:r>
            <w:proofErr w:type="spellEnd"/>
            <w:r w:rsidRPr="00B96D98">
              <w:rPr>
                <w:rFonts w:ascii="Times New Roman" w:hAnsi="Times New Roman" w:cs="Times New Roman"/>
                <w:b/>
                <w:lang w:val="en-GB"/>
              </w:rPr>
              <w:t xml:space="preserve"> </w:t>
            </w:r>
            <w:proofErr w:type="spellStart"/>
            <w:r w:rsidRPr="00B96D98">
              <w:rPr>
                <w:rStyle w:val="spelle"/>
                <w:rFonts w:ascii="Times New Roman" w:hAnsi="Times New Roman" w:cs="Times New Roman"/>
                <w:b/>
                <w:lang w:val="en-GB"/>
              </w:rPr>
              <w:t>Resmî</w:t>
            </w:r>
            <w:proofErr w:type="spellEnd"/>
            <w:r w:rsidRPr="00B96D98">
              <w:rPr>
                <w:rFonts w:ascii="Times New Roman" w:hAnsi="Times New Roman" w:cs="Times New Roman"/>
                <w:b/>
                <w:lang w:val="en-GB"/>
              </w:rPr>
              <w:t xml:space="preserve"> </w:t>
            </w:r>
            <w:proofErr w:type="spellStart"/>
            <w:r w:rsidRPr="00B96D98">
              <w:rPr>
                <w:rStyle w:val="spelle"/>
                <w:rFonts w:ascii="Times New Roman" w:hAnsi="Times New Roman" w:cs="Times New Roman"/>
                <w:b/>
                <w:lang w:val="en-GB"/>
              </w:rPr>
              <w:t>Gazete’nin</w:t>
            </w:r>
            <w:proofErr w:type="spellEnd"/>
          </w:p>
        </w:tc>
      </w:tr>
      <w:tr w:rsidR="00B96D98" w:rsidRPr="00B96D98">
        <w:trPr>
          <w:trHeight w:val="228"/>
          <w:jc w:val="center"/>
        </w:trPr>
        <w:tc>
          <w:tcPr>
            <w:tcW w:w="4374" w:type="dxa"/>
            <w:tcBorders>
              <w:top w:val="nil"/>
              <w:left w:val="single" w:sz="4" w:space="0" w:color="auto"/>
              <w:bottom w:val="single" w:sz="4" w:space="0" w:color="auto"/>
              <w:right w:val="nil"/>
            </w:tcBorders>
            <w:hideMark/>
          </w:tcPr>
          <w:p w:rsidR="00B96D98" w:rsidRPr="00B96D98" w:rsidRDefault="00B96D98">
            <w:pPr>
              <w:spacing w:line="228" w:lineRule="atLeast"/>
              <w:jc w:val="center"/>
              <w:rPr>
                <w:rFonts w:ascii="Times New Roman" w:hAnsi="Times New Roman" w:cs="Times New Roman"/>
                <w:color w:val="000000"/>
              </w:rPr>
            </w:pPr>
            <w:proofErr w:type="spellStart"/>
            <w:r w:rsidRPr="00B96D98">
              <w:rPr>
                <w:rStyle w:val="spelle"/>
                <w:rFonts w:ascii="Times New Roman" w:hAnsi="Times New Roman" w:cs="Times New Roman"/>
                <w:b/>
                <w:lang w:val="en-GB"/>
              </w:rPr>
              <w:t>Tarihi</w:t>
            </w:r>
            <w:proofErr w:type="spellEnd"/>
          </w:p>
        </w:tc>
        <w:tc>
          <w:tcPr>
            <w:tcW w:w="4759" w:type="dxa"/>
            <w:tcBorders>
              <w:top w:val="nil"/>
              <w:left w:val="nil"/>
              <w:bottom w:val="single" w:sz="4" w:space="0" w:color="auto"/>
              <w:right w:val="single" w:sz="4" w:space="0" w:color="auto"/>
            </w:tcBorders>
            <w:hideMark/>
          </w:tcPr>
          <w:p w:rsidR="00B96D98" w:rsidRPr="00B96D98" w:rsidRDefault="00B96D98">
            <w:pPr>
              <w:spacing w:line="228" w:lineRule="atLeast"/>
              <w:jc w:val="center"/>
              <w:rPr>
                <w:rFonts w:ascii="Times New Roman" w:hAnsi="Times New Roman" w:cs="Times New Roman"/>
                <w:color w:val="000000"/>
              </w:rPr>
            </w:pPr>
            <w:proofErr w:type="spellStart"/>
            <w:r w:rsidRPr="00B96D98">
              <w:rPr>
                <w:rStyle w:val="spelle"/>
                <w:rFonts w:ascii="Times New Roman" w:hAnsi="Times New Roman" w:cs="Times New Roman"/>
                <w:b/>
                <w:lang w:val="en-GB"/>
              </w:rPr>
              <w:t>Sayısı</w:t>
            </w:r>
            <w:proofErr w:type="spellEnd"/>
          </w:p>
        </w:tc>
      </w:tr>
      <w:tr w:rsidR="00B96D98" w:rsidRPr="00B96D98">
        <w:trPr>
          <w:trHeight w:val="228"/>
          <w:jc w:val="center"/>
        </w:trPr>
        <w:tc>
          <w:tcPr>
            <w:tcW w:w="4374" w:type="dxa"/>
            <w:tcBorders>
              <w:top w:val="single" w:sz="4" w:space="0" w:color="auto"/>
              <w:left w:val="single" w:sz="4" w:space="0" w:color="auto"/>
              <w:bottom w:val="single" w:sz="4" w:space="0" w:color="auto"/>
              <w:right w:val="single" w:sz="4" w:space="0" w:color="auto"/>
            </w:tcBorders>
            <w:hideMark/>
          </w:tcPr>
          <w:p w:rsidR="00B96D98" w:rsidRPr="00B96D98" w:rsidRDefault="00B96D98">
            <w:pPr>
              <w:spacing w:line="228" w:lineRule="atLeast"/>
              <w:jc w:val="center"/>
              <w:rPr>
                <w:rFonts w:ascii="Times New Roman" w:hAnsi="Times New Roman" w:cs="Times New Roman"/>
                <w:color w:val="000000"/>
              </w:rPr>
            </w:pPr>
            <w:r w:rsidRPr="00B96D98">
              <w:rPr>
                <w:rFonts w:ascii="Times New Roman" w:hAnsi="Times New Roman" w:cs="Times New Roman"/>
                <w:lang w:val="en-GB"/>
              </w:rPr>
              <w:lastRenderedPageBreak/>
              <w:t>20/9/2007</w:t>
            </w:r>
          </w:p>
        </w:tc>
        <w:tc>
          <w:tcPr>
            <w:tcW w:w="4759" w:type="dxa"/>
            <w:tcBorders>
              <w:top w:val="single" w:sz="4" w:space="0" w:color="auto"/>
              <w:left w:val="single" w:sz="4" w:space="0" w:color="auto"/>
              <w:bottom w:val="single" w:sz="4" w:space="0" w:color="auto"/>
              <w:right w:val="single" w:sz="4" w:space="0" w:color="auto"/>
            </w:tcBorders>
            <w:hideMark/>
          </w:tcPr>
          <w:p w:rsidR="00B96D98" w:rsidRPr="00B96D98" w:rsidRDefault="00B96D98">
            <w:pPr>
              <w:spacing w:line="228" w:lineRule="atLeast"/>
              <w:jc w:val="center"/>
              <w:rPr>
                <w:rFonts w:ascii="Times New Roman" w:hAnsi="Times New Roman" w:cs="Times New Roman"/>
                <w:color w:val="000000"/>
              </w:rPr>
            </w:pPr>
            <w:r w:rsidRPr="00B96D98">
              <w:rPr>
                <w:rFonts w:ascii="Times New Roman" w:hAnsi="Times New Roman" w:cs="Times New Roman"/>
                <w:lang w:val="en-GB"/>
              </w:rPr>
              <w:t>26649</w:t>
            </w:r>
          </w:p>
        </w:tc>
      </w:tr>
    </w:tbl>
    <w:p w:rsidR="00B96D98" w:rsidRPr="00B96D98" w:rsidRDefault="00B96D98" w:rsidP="00B96D98">
      <w:pPr>
        <w:pStyle w:val="NormalWeb"/>
        <w:spacing w:before="0" w:beforeAutospacing="0" w:after="0" w:afterAutospacing="0" w:line="276" w:lineRule="auto"/>
        <w:rPr>
          <w:color w:val="0F243E" w:themeColor="text2" w:themeShade="80"/>
          <w:sz w:val="22"/>
          <w:szCs w:val="22"/>
        </w:rPr>
      </w:pPr>
    </w:p>
    <w:p w:rsidR="0083768A" w:rsidRPr="00B96D98" w:rsidRDefault="0083768A" w:rsidP="0083768A">
      <w:pPr>
        <w:spacing w:after="0"/>
        <w:jc w:val="both"/>
        <w:rPr>
          <w:rFonts w:ascii="Times New Roman" w:eastAsia="Times New Roman" w:hAnsi="Times New Roman" w:cs="Times New Roman"/>
          <w:color w:val="0F243E" w:themeColor="text2" w:themeShade="80"/>
          <w:lang w:eastAsia="tr-TR"/>
        </w:rPr>
      </w:pPr>
    </w:p>
    <w:sectPr w:rsidR="0083768A" w:rsidRPr="00B96D9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4309C"/>
    <w:rsid w:val="000A2089"/>
    <w:rsid w:val="00113994"/>
    <w:rsid w:val="00120A0B"/>
    <w:rsid w:val="0015545E"/>
    <w:rsid w:val="00186C47"/>
    <w:rsid w:val="001E46ED"/>
    <w:rsid w:val="002329E7"/>
    <w:rsid w:val="00262A97"/>
    <w:rsid w:val="00297F3E"/>
    <w:rsid w:val="002C7984"/>
    <w:rsid w:val="00307C66"/>
    <w:rsid w:val="00390584"/>
    <w:rsid w:val="003920C5"/>
    <w:rsid w:val="003A3BDC"/>
    <w:rsid w:val="0041673F"/>
    <w:rsid w:val="0042547D"/>
    <w:rsid w:val="00561493"/>
    <w:rsid w:val="005A1E5D"/>
    <w:rsid w:val="00615F45"/>
    <w:rsid w:val="00627628"/>
    <w:rsid w:val="0065699B"/>
    <w:rsid w:val="006600FC"/>
    <w:rsid w:val="00762A54"/>
    <w:rsid w:val="007C446A"/>
    <w:rsid w:val="007C4F56"/>
    <w:rsid w:val="007E20CF"/>
    <w:rsid w:val="0083768A"/>
    <w:rsid w:val="00864FF4"/>
    <w:rsid w:val="00906C2F"/>
    <w:rsid w:val="00A473C1"/>
    <w:rsid w:val="00A608EF"/>
    <w:rsid w:val="00A60F27"/>
    <w:rsid w:val="00A80ABC"/>
    <w:rsid w:val="00B12A31"/>
    <w:rsid w:val="00B62C45"/>
    <w:rsid w:val="00B65EC6"/>
    <w:rsid w:val="00B96D98"/>
    <w:rsid w:val="00BB7DD7"/>
    <w:rsid w:val="00BC636F"/>
    <w:rsid w:val="00BF6AFE"/>
    <w:rsid w:val="00CE447A"/>
    <w:rsid w:val="00E2215E"/>
    <w:rsid w:val="00E34720"/>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A608E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1809</Characters>
  <Application>Microsoft Office Word</Application>
  <DocSecurity>0</DocSecurity>
  <Lines>15</Lines>
  <Paragraphs>4</Paragraphs>
  <ScaleCrop>false</ScaleCrop>
  <Company>TURMOB</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44</cp:revision>
  <dcterms:created xsi:type="dcterms:W3CDTF">2010-03-02T06:25:00Z</dcterms:created>
  <dcterms:modified xsi:type="dcterms:W3CDTF">2010-03-11T06:29:00Z</dcterms:modified>
</cp:coreProperties>
</file>