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8E1F03" w:rsidRDefault="008E1F03" w:rsidP="00034CBA">
      <w:pPr>
        <w:pStyle w:val="NormalWeb"/>
        <w:spacing w:before="0" w:beforeAutospacing="0" w:after="0" w:afterAutospacing="0" w:line="276" w:lineRule="auto"/>
        <w:rPr>
          <w:b/>
          <w:color w:val="auto"/>
          <w:sz w:val="20"/>
          <w:szCs w:val="20"/>
          <w:u w:val="single"/>
        </w:rPr>
      </w:pPr>
      <w:proofErr w:type="gramStart"/>
      <w:r w:rsidRPr="008E1F03">
        <w:rPr>
          <w:b/>
          <w:color w:val="auto"/>
          <w:sz w:val="20"/>
          <w:szCs w:val="20"/>
          <w:u w:val="single"/>
        </w:rPr>
        <w:t>29</w:t>
      </w:r>
      <w:r w:rsidR="00B141B2" w:rsidRPr="008E1F03">
        <w:rPr>
          <w:b/>
          <w:color w:val="auto"/>
          <w:sz w:val="20"/>
          <w:szCs w:val="20"/>
          <w:u w:val="single"/>
        </w:rPr>
        <w:t xml:space="preserve"> </w:t>
      </w:r>
      <w:r w:rsidR="009F0075" w:rsidRPr="008E1F03">
        <w:rPr>
          <w:b/>
          <w:color w:val="auto"/>
          <w:sz w:val="20"/>
          <w:szCs w:val="20"/>
          <w:u w:val="single"/>
        </w:rPr>
        <w:t xml:space="preserve"> Mayıs</w:t>
      </w:r>
      <w:proofErr w:type="gramEnd"/>
      <w:r w:rsidR="009F0075" w:rsidRPr="008E1F03">
        <w:rPr>
          <w:b/>
          <w:color w:val="auto"/>
          <w:sz w:val="20"/>
          <w:szCs w:val="20"/>
          <w:u w:val="single"/>
        </w:rPr>
        <w:t xml:space="preserve"> 2011</w:t>
      </w:r>
      <w:r w:rsidR="00D50584" w:rsidRPr="008E1F03">
        <w:rPr>
          <w:b/>
          <w:color w:val="auto"/>
          <w:sz w:val="20"/>
          <w:szCs w:val="20"/>
          <w:u w:val="single"/>
        </w:rPr>
        <w:t xml:space="preserve"> </w:t>
      </w:r>
      <w:r w:rsidR="00AE2957" w:rsidRPr="008E1F03">
        <w:rPr>
          <w:b/>
          <w:color w:val="auto"/>
          <w:sz w:val="20"/>
          <w:szCs w:val="20"/>
          <w:u w:val="single"/>
        </w:rPr>
        <w:tab/>
      </w:r>
      <w:r w:rsidR="00AE2957" w:rsidRPr="008E1F03">
        <w:rPr>
          <w:b/>
          <w:color w:val="auto"/>
          <w:sz w:val="20"/>
          <w:szCs w:val="20"/>
          <w:u w:val="single"/>
        </w:rPr>
        <w:tab/>
      </w:r>
      <w:r w:rsidR="00AE2957" w:rsidRPr="008E1F03">
        <w:rPr>
          <w:b/>
          <w:color w:val="auto"/>
          <w:sz w:val="20"/>
          <w:szCs w:val="20"/>
          <w:u w:val="single"/>
        </w:rPr>
        <w:tab/>
      </w:r>
      <w:r w:rsidR="00AE2957" w:rsidRPr="008E1F03">
        <w:rPr>
          <w:b/>
          <w:color w:val="auto"/>
          <w:sz w:val="20"/>
          <w:szCs w:val="20"/>
          <w:u w:val="single"/>
        </w:rPr>
        <w:tab/>
      </w:r>
      <w:r w:rsidR="00AE2957" w:rsidRPr="008E1F03">
        <w:rPr>
          <w:b/>
          <w:color w:val="auto"/>
          <w:sz w:val="20"/>
          <w:szCs w:val="20"/>
          <w:u w:val="single"/>
        </w:rPr>
        <w:tab/>
      </w:r>
      <w:r w:rsidR="00AE2957" w:rsidRPr="008E1F03">
        <w:rPr>
          <w:b/>
          <w:color w:val="auto"/>
          <w:sz w:val="20"/>
          <w:szCs w:val="20"/>
          <w:u w:val="single"/>
        </w:rPr>
        <w:tab/>
      </w:r>
      <w:r w:rsidR="00AE2957" w:rsidRPr="008E1F03">
        <w:rPr>
          <w:b/>
          <w:color w:val="auto"/>
          <w:sz w:val="20"/>
          <w:szCs w:val="20"/>
          <w:u w:val="single"/>
        </w:rPr>
        <w:tab/>
      </w:r>
      <w:r w:rsidR="00D50584" w:rsidRPr="008E1F03">
        <w:rPr>
          <w:b/>
          <w:color w:val="auto"/>
          <w:sz w:val="20"/>
          <w:szCs w:val="20"/>
          <w:u w:val="single"/>
        </w:rPr>
        <w:tab/>
      </w:r>
      <w:r w:rsidR="001129E7" w:rsidRPr="008E1F03">
        <w:rPr>
          <w:b/>
          <w:color w:val="auto"/>
          <w:sz w:val="20"/>
          <w:szCs w:val="20"/>
          <w:u w:val="single"/>
        </w:rPr>
        <w:t xml:space="preserve"> </w:t>
      </w:r>
      <w:r w:rsidR="00D506ED" w:rsidRPr="008E1F03">
        <w:rPr>
          <w:b/>
          <w:color w:val="auto"/>
          <w:sz w:val="20"/>
          <w:szCs w:val="20"/>
          <w:u w:val="single"/>
        </w:rPr>
        <w:tab/>
      </w:r>
      <w:r w:rsidR="001129E7" w:rsidRPr="008E1F03">
        <w:rPr>
          <w:b/>
          <w:color w:val="auto"/>
          <w:sz w:val="20"/>
          <w:szCs w:val="20"/>
          <w:u w:val="single"/>
        </w:rPr>
        <w:t xml:space="preserve">    </w:t>
      </w:r>
      <w:r w:rsidR="00FE184B" w:rsidRPr="008E1F03">
        <w:rPr>
          <w:b/>
          <w:color w:val="auto"/>
          <w:sz w:val="20"/>
          <w:szCs w:val="20"/>
          <w:u w:val="single"/>
        </w:rPr>
        <w:t xml:space="preserve">   </w:t>
      </w:r>
      <w:r w:rsidR="001129E7" w:rsidRPr="008E1F03">
        <w:rPr>
          <w:b/>
          <w:color w:val="auto"/>
          <w:sz w:val="20"/>
          <w:szCs w:val="20"/>
          <w:u w:val="single"/>
        </w:rPr>
        <w:t xml:space="preserve"> </w:t>
      </w:r>
      <w:r w:rsidR="00AE2957" w:rsidRPr="008E1F03">
        <w:rPr>
          <w:b/>
          <w:color w:val="auto"/>
          <w:sz w:val="20"/>
          <w:szCs w:val="20"/>
          <w:u w:val="single"/>
        </w:rPr>
        <w:t xml:space="preserve">Sayı: </w:t>
      </w:r>
      <w:r w:rsidRPr="008E1F03">
        <w:rPr>
          <w:b/>
          <w:color w:val="auto"/>
          <w:sz w:val="20"/>
          <w:szCs w:val="20"/>
          <w:u w:val="single"/>
        </w:rPr>
        <w:t>27979</w:t>
      </w:r>
    </w:p>
    <w:p w:rsidR="005B41E3" w:rsidRPr="008E1F03" w:rsidRDefault="005B41E3" w:rsidP="005B41E3">
      <w:pPr>
        <w:pStyle w:val="NormalWeb"/>
        <w:spacing w:before="0" w:beforeAutospacing="0" w:after="0" w:afterAutospacing="0" w:line="276" w:lineRule="auto"/>
        <w:rPr>
          <w:color w:val="auto"/>
          <w:sz w:val="20"/>
          <w:szCs w:val="20"/>
        </w:rPr>
      </w:pPr>
    </w:p>
    <w:tbl>
      <w:tblPr>
        <w:tblW w:w="8789" w:type="dxa"/>
        <w:jc w:val="center"/>
        <w:tblLook w:val="01E0"/>
      </w:tblPr>
      <w:tblGrid>
        <w:gridCol w:w="8789"/>
      </w:tblGrid>
      <w:tr w:rsidR="00B5571B" w:rsidRPr="008E1F03">
        <w:trPr>
          <w:trHeight w:val="480"/>
          <w:jc w:val="center"/>
        </w:trPr>
        <w:tc>
          <w:tcPr>
            <w:tcW w:w="8789" w:type="dxa"/>
            <w:vAlign w:val="center"/>
            <w:hideMark/>
          </w:tcPr>
          <w:p w:rsidR="00B5571B" w:rsidRPr="008E1F03" w:rsidRDefault="00B5571B" w:rsidP="00B5571B">
            <w:pPr>
              <w:spacing w:before="100" w:beforeAutospacing="1" w:after="100" w:afterAutospacing="1" w:line="240" w:lineRule="auto"/>
              <w:jc w:val="center"/>
              <w:rPr>
                <w:rFonts w:ascii="Times New Roman" w:eastAsia="Times New Roman" w:hAnsi="Times New Roman"/>
                <w:b/>
                <w:color w:val="000080"/>
                <w:sz w:val="20"/>
                <w:szCs w:val="20"/>
                <w:lang w:eastAsia="tr-TR"/>
              </w:rPr>
            </w:pPr>
          </w:p>
          <w:p w:rsidR="008E1F03" w:rsidRPr="008E1F03" w:rsidRDefault="008E1F03" w:rsidP="008E1F03">
            <w:pPr>
              <w:tabs>
                <w:tab w:val="left" w:pos="566"/>
                <w:tab w:val="center" w:pos="3543"/>
              </w:tabs>
              <w:rPr>
                <w:rFonts w:ascii="Times New Roman" w:hAnsi="Times New Roman"/>
                <w:sz w:val="20"/>
                <w:szCs w:val="20"/>
              </w:rPr>
            </w:pPr>
            <w:r w:rsidRPr="008E1F03">
              <w:rPr>
                <w:rStyle w:val="normal1"/>
                <w:rFonts w:ascii="Times New Roman" w:hAnsi="Times New Roman"/>
                <w:b/>
                <w:sz w:val="20"/>
                <w:szCs w:val="20"/>
              </w:rPr>
              <w:t xml:space="preserve">Karar </w:t>
            </w:r>
            <w:proofErr w:type="gramStart"/>
            <w:r w:rsidRPr="008E1F03">
              <w:rPr>
                <w:rStyle w:val="normal1"/>
                <w:rFonts w:ascii="Times New Roman" w:hAnsi="Times New Roman"/>
                <w:b/>
                <w:sz w:val="20"/>
                <w:szCs w:val="20"/>
              </w:rPr>
              <w:t>Sayısı : 2011</w:t>
            </w:r>
            <w:proofErr w:type="gramEnd"/>
            <w:r w:rsidRPr="008E1F03">
              <w:rPr>
                <w:rStyle w:val="normal1"/>
                <w:rFonts w:ascii="Times New Roman" w:hAnsi="Times New Roman"/>
                <w:b/>
                <w:sz w:val="20"/>
                <w:szCs w:val="20"/>
              </w:rPr>
              <w:t>/1854</w:t>
            </w:r>
          </w:p>
          <w:p w:rsidR="008E1F03" w:rsidRPr="008E1F03" w:rsidRDefault="008E1F03" w:rsidP="008E1F03">
            <w:pPr>
              <w:tabs>
                <w:tab w:val="left" w:pos="566"/>
                <w:tab w:val="center" w:pos="3543"/>
              </w:tabs>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Style w:val="normal1"/>
                <w:rFonts w:ascii="Times New Roman" w:hAnsi="Times New Roman"/>
                <w:sz w:val="20"/>
                <w:szCs w:val="20"/>
              </w:rPr>
              <w:t xml:space="preserve">193 sayılı Gelir Vergisi Kanununun 94 üncü ve geçici 67 </w:t>
            </w:r>
            <w:proofErr w:type="spellStart"/>
            <w:r w:rsidRPr="008E1F03">
              <w:rPr>
                <w:rStyle w:val="spelle"/>
                <w:rFonts w:ascii="Times New Roman" w:hAnsi="Times New Roman"/>
                <w:sz w:val="20"/>
                <w:szCs w:val="20"/>
              </w:rPr>
              <w:t>nci</w:t>
            </w:r>
            <w:proofErr w:type="spellEnd"/>
            <w:r w:rsidRPr="008E1F03">
              <w:rPr>
                <w:rStyle w:val="normal1"/>
                <w:rFonts w:ascii="Times New Roman" w:hAnsi="Times New Roman"/>
                <w:sz w:val="20"/>
                <w:szCs w:val="20"/>
              </w:rPr>
              <w:t xml:space="preserve"> maddelerinde ve 5520 sayılı Kurumlar Vergisi Kanununun 15 inci ve 30 uncu maddelerinde yer alan </w:t>
            </w:r>
            <w:proofErr w:type="spellStart"/>
            <w:r w:rsidRPr="008E1F03">
              <w:rPr>
                <w:rStyle w:val="spelle"/>
                <w:rFonts w:ascii="Times New Roman" w:hAnsi="Times New Roman"/>
                <w:sz w:val="20"/>
                <w:szCs w:val="20"/>
              </w:rPr>
              <w:t>tevkifat</w:t>
            </w:r>
            <w:proofErr w:type="spellEnd"/>
            <w:r w:rsidRPr="008E1F03">
              <w:rPr>
                <w:rStyle w:val="normal1"/>
                <w:rFonts w:ascii="Times New Roman" w:hAnsi="Times New Roman"/>
                <w:sz w:val="20"/>
                <w:szCs w:val="20"/>
              </w:rPr>
              <w:t xml:space="preserve"> oranları ile 6802 sayılı Gider Vergileri Kanununun 33 üncü maddesinde yer alan banka ve sigorta muameleleri vergisi nispetleri hakkındaki ekli Kararın yürürlüğe konulması; Maliye Bakanlığının </w:t>
            </w:r>
            <w:proofErr w:type="gramStart"/>
            <w:r w:rsidRPr="008E1F03">
              <w:rPr>
                <w:rStyle w:val="normal1"/>
                <w:rFonts w:ascii="Times New Roman" w:hAnsi="Times New Roman"/>
                <w:sz w:val="20"/>
                <w:szCs w:val="20"/>
              </w:rPr>
              <w:t>22/4/2011</w:t>
            </w:r>
            <w:proofErr w:type="gramEnd"/>
            <w:r w:rsidRPr="008E1F03">
              <w:rPr>
                <w:rStyle w:val="normal1"/>
                <w:rFonts w:ascii="Times New Roman" w:hAnsi="Times New Roman"/>
                <w:sz w:val="20"/>
                <w:szCs w:val="20"/>
              </w:rPr>
              <w:t xml:space="preserve"> tarihli ve 39869 sayılı yazısı üzerine, adı geçen Kanunların anılan maddelerine göre, Bakanlar Kurulu’nca 26/4/2011 tarihinde kararlaştırılmıştır.</w:t>
            </w:r>
          </w:p>
          <w:p w:rsidR="008E1F03" w:rsidRPr="008E1F03" w:rsidRDefault="008E1F03" w:rsidP="008E1F03">
            <w:pPr>
              <w:tabs>
                <w:tab w:val="left" w:pos="566"/>
                <w:tab w:val="center" w:pos="3543"/>
              </w:tabs>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tabs>
                <w:tab w:val="center" w:pos="7311"/>
              </w:tabs>
              <w:jc w:val="both"/>
              <w:rPr>
                <w:rFonts w:ascii="Times New Roman" w:hAnsi="Times New Roman"/>
                <w:sz w:val="20"/>
                <w:szCs w:val="20"/>
              </w:rPr>
            </w:pPr>
            <w:r w:rsidRPr="008E1F03">
              <w:rPr>
                <w:rStyle w:val="normal1"/>
                <w:rFonts w:ascii="Times New Roman" w:hAnsi="Times New Roman"/>
                <w:b/>
                <w:sz w:val="20"/>
                <w:szCs w:val="20"/>
              </w:rPr>
              <w:t>Abdullah GÜL</w:t>
            </w:r>
          </w:p>
          <w:p w:rsidR="008E1F03" w:rsidRPr="008E1F03" w:rsidRDefault="008E1F03" w:rsidP="008E1F03">
            <w:pPr>
              <w:tabs>
                <w:tab w:val="center" w:pos="7311"/>
              </w:tabs>
              <w:jc w:val="both"/>
              <w:rPr>
                <w:rFonts w:ascii="Times New Roman" w:hAnsi="Times New Roman"/>
                <w:sz w:val="20"/>
                <w:szCs w:val="20"/>
              </w:rPr>
            </w:pPr>
            <w:r w:rsidRPr="008E1F03">
              <w:rPr>
                <w:rStyle w:val="normal1"/>
                <w:rFonts w:ascii="Times New Roman" w:hAnsi="Times New Roman"/>
                <w:sz w:val="20"/>
                <w:szCs w:val="20"/>
              </w:rPr>
              <w:t>CUMHURBAŞKANI</w:t>
            </w:r>
          </w:p>
          <w:p w:rsidR="008E1F03" w:rsidRPr="008E1F03" w:rsidRDefault="008E1F03" w:rsidP="008E1F03">
            <w:pPr>
              <w:tabs>
                <w:tab w:val="center" w:pos="826"/>
                <w:tab w:val="center" w:pos="2561"/>
                <w:tab w:val="center" w:pos="6066"/>
              </w:tabs>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pStyle w:val="2-ortabaslk"/>
              <w:tabs>
                <w:tab w:val="left" w:pos="566"/>
              </w:tabs>
              <w:spacing w:before="0" w:beforeAutospacing="0" w:after="0" w:afterAutospacing="0" w:line="276" w:lineRule="auto"/>
              <w:rPr>
                <w:sz w:val="20"/>
                <w:szCs w:val="20"/>
              </w:rPr>
            </w:pPr>
            <w:r w:rsidRPr="008E1F03">
              <w:rPr>
                <w:sz w:val="20"/>
                <w:szCs w:val="20"/>
              </w:rPr>
              <w:t> </w:t>
            </w:r>
          </w:p>
          <w:p w:rsidR="008E1F03" w:rsidRPr="008E1F03" w:rsidRDefault="008E1F03" w:rsidP="008E1F03">
            <w:pPr>
              <w:jc w:val="center"/>
              <w:outlineLvl w:val="0"/>
              <w:rPr>
                <w:rFonts w:ascii="Times New Roman" w:hAnsi="Times New Roman"/>
                <w:sz w:val="20"/>
                <w:szCs w:val="20"/>
              </w:rPr>
            </w:pPr>
            <w:proofErr w:type="gramStart"/>
            <w:r w:rsidRPr="008E1F03">
              <w:rPr>
                <w:rFonts w:ascii="Times New Roman" w:hAnsi="Times New Roman"/>
                <w:b/>
                <w:bCs/>
                <w:sz w:val="20"/>
                <w:szCs w:val="20"/>
              </w:rPr>
              <w:t>26/4/2011</w:t>
            </w:r>
            <w:proofErr w:type="gramEnd"/>
            <w:r w:rsidRPr="008E1F03">
              <w:rPr>
                <w:rFonts w:ascii="Times New Roman" w:hAnsi="Times New Roman"/>
                <w:b/>
                <w:bCs/>
                <w:sz w:val="20"/>
                <w:szCs w:val="20"/>
              </w:rPr>
              <w:t xml:space="preserve"> TARİHLİ VE 2011/1854 SAYILI </w:t>
            </w:r>
          </w:p>
          <w:p w:rsidR="008E1F03" w:rsidRPr="008E1F03" w:rsidRDefault="008E1F03" w:rsidP="008E1F03">
            <w:pPr>
              <w:jc w:val="center"/>
              <w:outlineLvl w:val="0"/>
              <w:rPr>
                <w:rFonts w:ascii="Times New Roman" w:hAnsi="Times New Roman"/>
                <w:sz w:val="20"/>
                <w:szCs w:val="20"/>
              </w:rPr>
            </w:pPr>
            <w:r w:rsidRPr="008E1F03">
              <w:rPr>
                <w:rFonts w:ascii="Times New Roman" w:hAnsi="Times New Roman"/>
                <w:b/>
                <w:bCs/>
                <w:sz w:val="20"/>
                <w:szCs w:val="20"/>
              </w:rPr>
              <w:t xml:space="preserve">KARARNAMENİN EKİ </w:t>
            </w:r>
          </w:p>
          <w:p w:rsidR="008E1F03" w:rsidRPr="008E1F03" w:rsidRDefault="008E1F03" w:rsidP="008E1F03">
            <w:pPr>
              <w:jc w:val="center"/>
              <w:outlineLvl w:val="0"/>
              <w:rPr>
                <w:rFonts w:ascii="Times New Roman" w:hAnsi="Times New Roman"/>
                <w:sz w:val="20"/>
                <w:szCs w:val="20"/>
              </w:rPr>
            </w:pPr>
            <w:r w:rsidRPr="008E1F03">
              <w:rPr>
                <w:rFonts w:ascii="Times New Roman" w:hAnsi="Times New Roman"/>
                <w:b/>
                <w:bCs/>
                <w:sz w:val="20"/>
                <w:szCs w:val="20"/>
              </w:rPr>
              <w:t>KARAR</w:t>
            </w:r>
          </w:p>
          <w:p w:rsidR="008E1F03" w:rsidRPr="008E1F03" w:rsidRDefault="008E1F03" w:rsidP="008E1F03">
            <w:pPr>
              <w:jc w:val="center"/>
              <w:outlineLvl w:val="0"/>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
                <w:bCs/>
                <w:sz w:val="20"/>
                <w:szCs w:val="20"/>
              </w:rPr>
              <w:t xml:space="preserve">MADDE 1 </w:t>
            </w:r>
            <w:r w:rsidRPr="008E1F03">
              <w:rPr>
                <w:rFonts w:ascii="Times New Roman" w:hAnsi="Cambria Math"/>
                <w:b/>
                <w:bCs/>
                <w:sz w:val="20"/>
                <w:szCs w:val="20"/>
              </w:rPr>
              <w:t>‒</w:t>
            </w:r>
            <w:r w:rsidRPr="008E1F03">
              <w:rPr>
                <w:rFonts w:ascii="Times New Roman" w:hAnsi="Times New Roman"/>
                <w:sz w:val="20"/>
                <w:szCs w:val="20"/>
              </w:rPr>
              <w:t xml:space="preserve"> </w:t>
            </w:r>
            <w:proofErr w:type="gramStart"/>
            <w:r w:rsidRPr="008E1F03">
              <w:rPr>
                <w:rFonts w:ascii="Times New Roman" w:hAnsi="Times New Roman"/>
                <w:sz w:val="20"/>
                <w:szCs w:val="20"/>
              </w:rPr>
              <w:t>12/1/2009</w:t>
            </w:r>
            <w:proofErr w:type="gramEnd"/>
            <w:r w:rsidRPr="008E1F03">
              <w:rPr>
                <w:rFonts w:ascii="Times New Roman" w:hAnsi="Times New Roman"/>
                <w:sz w:val="20"/>
                <w:szCs w:val="20"/>
              </w:rPr>
              <w:t xml:space="preserve"> tarihli ve 2009/14592 sayılı Kararnamenin eki Kararın 1 inci maddesinin birinci fıkrasının (7) numaralı bendinin (b) alt bendi aşağıdaki şekilde değiştirilmiştir.</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“b) Diğerlerinden;</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ba</w:t>
            </w:r>
            <w:proofErr w:type="spellEnd"/>
            <w:r w:rsidRPr="008E1F03">
              <w:rPr>
                <w:rFonts w:ascii="Times New Roman" w:hAnsi="Times New Roman"/>
                <w:bCs/>
                <w:sz w:val="20"/>
                <w:szCs w:val="20"/>
              </w:rPr>
              <w:t>) Tam mükellef kurumlar tarafından yurt dışında ihraç edilen tahvillerin;</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i) Vadesi 1 yıla kadar olanlardan elde edilen faizlerinden % 10,</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ii</w:t>
            </w:r>
            <w:proofErr w:type="spellEnd"/>
            <w:r w:rsidRPr="008E1F03">
              <w:rPr>
                <w:rFonts w:ascii="Times New Roman" w:hAnsi="Times New Roman"/>
                <w:bCs/>
                <w:sz w:val="20"/>
                <w:szCs w:val="20"/>
              </w:rPr>
              <w:t>) Vadesi 1 yıl ile 3 yıl arası olanlardan elde edilen faizlerinden % 7,</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iii</w:t>
            </w:r>
            <w:proofErr w:type="spellEnd"/>
            <w:r w:rsidRPr="008E1F03">
              <w:rPr>
                <w:rFonts w:ascii="Times New Roman" w:hAnsi="Times New Roman"/>
                <w:bCs/>
                <w:sz w:val="20"/>
                <w:szCs w:val="20"/>
              </w:rPr>
              <w:t>) Vadesi 3 yıl ile 5 yıl arası olanlardan elde edilen faizlerinden % 3,</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 xml:space="preserve">iv) Vadesi 5 yıl ve daha uzun olanlardan elde edilen faizlerinden %0, </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bb</w:t>
            </w:r>
            <w:proofErr w:type="spellEnd"/>
            <w:r w:rsidRPr="008E1F03">
              <w:rPr>
                <w:rFonts w:ascii="Times New Roman" w:hAnsi="Times New Roman"/>
                <w:bCs/>
                <w:sz w:val="20"/>
                <w:szCs w:val="20"/>
              </w:rPr>
              <w:t>) Tam mükellef varlık kiralama şirketleri tarafından yurt dışında ihraç edilen kira sertifikalarının;</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lastRenderedPageBreak/>
              <w:t>i) Vadesi 1 yıla kadar olanlara sağlanan gelirlerden % 10,</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ii</w:t>
            </w:r>
            <w:proofErr w:type="spellEnd"/>
            <w:r w:rsidRPr="008E1F03">
              <w:rPr>
                <w:rFonts w:ascii="Times New Roman" w:hAnsi="Times New Roman"/>
                <w:bCs/>
                <w:sz w:val="20"/>
                <w:szCs w:val="20"/>
              </w:rPr>
              <w:t>) Vadesi 1 yıl ile 3 yıl arası olanlara sağlanan gelirlerden % 7,</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iii</w:t>
            </w:r>
            <w:proofErr w:type="spellEnd"/>
            <w:r w:rsidRPr="008E1F03">
              <w:rPr>
                <w:rFonts w:ascii="Times New Roman" w:hAnsi="Times New Roman"/>
                <w:bCs/>
                <w:sz w:val="20"/>
                <w:szCs w:val="20"/>
              </w:rPr>
              <w:t>) Vadesi 3 yıl ile 5 yıl arası olanlara sağlanan gelirlerden % 3,</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 xml:space="preserve">iv) Vadesi 5 yıl ve daha uzun olanlara sağlanan gelirlerden %0, </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bc</w:t>
            </w:r>
            <w:proofErr w:type="spellEnd"/>
            <w:r w:rsidRPr="008E1F03">
              <w:rPr>
                <w:rFonts w:ascii="Times New Roman" w:hAnsi="Times New Roman"/>
                <w:bCs/>
                <w:sz w:val="20"/>
                <w:szCs w:val="20"/>
              </w:rPr>
              <w:t>) (</w:t>
            </w:r>
            <w:bookmarkStart w:id="0" w:name="OLE_LINK3"/>
            <w:bookmarkStart w:id="1" w:name="OLE_LINK4"/>
            <w:bookmarkStart w:id="2" w:name="OLE_LINK9"/>
            <w:proofErr w:type="spellStart"/>
            <w:r w:rsidRPr="008E1F03">
              <w:rPr>
                <w:rStyle w:val="spelle"/>
                <w:rFonts w:ascii="Times New Roman" w:hAnsi="Times New Roman"/>
                <w:bCs/>
                <w:sz w:val="20"/>
                <w:szCs w:val="20"/>
              </w:rPr>
              <w:t>ba</w:t>
            </w:r>
            <w:proofErr w:type="spellEnd"/>
            <w:r w:rsidRPr="008E1F03">
              <w:rPr>
                <w:rFonts w:ascii="Times New Roman" w:hAnsi="Times New Roman"/>
                <w:bCs/>
                <w:sz w:val="20"/>
                <w:szCs w:val="20"/>
              </w:rPr>
              <w:t>) ve (</w:t>
            </w:r>
            <w:proofErr w:type="spellStart"/>
            <w:r w:rsidRPr="008E1F03">
              <w:rPr>
                <w:rStyle w:val="spelle"/>
                <w:rFonts w:ascii="Times New Roman" w:hAnsi="Times New Roman"/>
                <w:bCs/>
                <w:sz w:val="20"/>
                <w:szCs w:val="20"/>
              </w:rPr>
              <w:t>bb</w:t>
            </w:r>
            <w:bookmarkEnd w:id="0"/>
            <w:bookmarkEnd w:id="1"/>
            <w:bookmarkEnd w:id="2"/>
            <w:proofErr w:type="spellEnd"/>
            <w:r w:rsidRPr="008E1F03">
              <w:rPr>
                <w:rFonts w:ascii="Times New Roman" w:hAnsi="Times New Roman"/>
                <w:bCs/>
                <w:sz w:val="20"/>
                <w:szCs w:val="20"/>
              </w:rPr>
              <w:t>)’de belirtilenler dışında kalanlar için % 10,”</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
                <w:bCs/>
                <w:sz w:val="20"/>
                <w:szCs w:val="20"/>
              </w:rPr>
              <w:t xml:space="preserve">MADDE 2 </w:t>
            </w:r>
            <w:r w:rsidRPr="008E1F03">
              <w:rPr>
                <w:rFonts w:ascii="Times New Roman" w:hAnsi="Cambria Math"/>
                <w:b/>
                <w:bCs/>
                <w:sz w:val="20"/>
                <w:szCs w:val="20"/>
              </w:rPr>
              <w:t>‒</w:t>
            </w:r>
            <w:r w:rsidRPr="008E1F03">
              <w:rPr>
                <w:rFonts w:ascii="Times New Roman" w:hAnsi="Times New Roman"/>
                <w:b/>
                <w:bCs/>
                <w:sz w:val="20"/>
                <w:szCs w:val="20"/>
              </w:rPr>
              <w:t xml:space="preserve"> </w:t>
            </w:r>
            <w:proofErr w:type="gramStart"/>
            <w:r w:rsidRPr="008E1F03">
              <w:rPr>
                <w:rFonts w:ascii="Times New Roman" w:hAnsi="Times New Roman"/>
                <w:sz w:val="20"/>
                <w:szCs w:val="20"/>
              </w:rPr>
              <w:t>12</w:t>
            </w:r>
            <w:r w:rsidRPr="008E1F03">
              <w:rPr>
                <w:rFonts w:ascii="Times New Roman" w:hAnsi="Times New Roman"/>
                <w:bCs/>
                <w:sz w:val="20"/>
                <w:szCs w:val="20"/>
              </w:rPr>
              <w:t>/1/2009</w:t>
            </w:r>
            <w:proofErr w:type="gramEnd"/>
            <w:r w:rsidRPr="008E1F03">
              <w:rPr>
                <w:rFonts w:ascii="Times New Roman" w:hAnsi="Times New Roman"/>
                <w:bCs/>
                <w:sz w:val="20"/>
                <w:szCs w:val="20"/>
              </w:rPr>
              <w:t xml:space="preserve"> tarihli ve 2009/14593 </w:t>
            </w:r>
            <w:proofErr w:type="spellStart"/>
            <w:r w:rsidRPr="008E1F03">
              <w:rPr>
                <w:rFonts w:ascii="Times New Roman" w:hAnsi="Times New Roman"/>
                <w:bCs/>
                <w:sz w:val="20"/>
                <w:szCs w:val="20"/>
              </w:rPr>
              <w:t>sayılı</w:t>
            </w:r>
            <w:r w:rsidRPr="008E1F03">
              <w:rPr>
                <w:rFonts w:ascii="Times New Roman" w:hAnsi="Times New Roman"/>
                <w:sz w:val="20"/>
                <w:szCs w:val="20"/>
              </w:rPr>
              <w:t>Kararnamenin</w:t>
            </w:r>
            <w:proofErr w:type="spellEnd"/>
            <w:r w:rsidRPr="008E1F03">
              <w:rPr>
                <w:rFonts w:ascii="Times New Roman" w:hAnsi="Times New Roman"/>
                <w:sz w:val="20"/>
                <w:szCs w:val="20"/>
              </w:rPr>
              <w:t xml:space="preserve"> eki</w:t>
            </w:r>
            <w:r w:rsidRPr="008E1F03">
              <w:rPr>
                <w:rFonts w:ascii="Times New Roman" w:hAnsi="Times New Roman"/>
                <w:bCs/>
                <w:sz w:val="20"/>
                <w:szCs w:val="20"/>
              </w:rPr>
              <w:t xml:space="preserve"> Kararın </w:t>
            </w:r>
            <w:r w:rsidRPr="008E1F03">
              <w:rPr>
                <w:rFonts w:ascii="Times New Roman" w:hAnsi="Times New Roman"/>
                <w:sz w:val="20"/>
                <w:szCs w:val="20"/>
              </w:rPr>
              <w:t xml:space="preserve">1 inci maddesinin birinci fıkrasının (4) numaralı bendinin </w:t>
            </w:r>
            <w:bookmarkStart w:id="3" w:name="OLE_LINK6"/>
            <w:r w:rsidRPr="008E1F03">
              <w:rPr>
                <w:rFonts w:ascii="Times New Roman" w:hAnsi="Times New Roman"/>
                <w:sz w:val="20"/>
                <w:szCs w:val="20"/>
              </w:rPr>
              <w:t>birinci paragrafı ve (b) alt bendi aşağıdaki şekilde değiştirilmiştir.</w:t>
            </w:r>
            <w:bookmarkEnd w:id="3"/>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 xml:space="preserve">“4 </w:t>
            </w:r>
            <w:r w:rsidRPr="008E1F03">
              <w:rPr>
                <w:rFonts w:ascii="Times New Roman" w:hAnsi="Cambria Math"/>
                <w:bCs/>
                <w:sz w:val="20"/>
                <w:szCs w:val="20"/>
              </w:rPr>
              <w:t>‒</w:t>
            </w:r>
            <w:r w:rsidRPr="008E1F03">
              <w:rPr>
                <w:rFonts w:ascii="Times New Roman" w:hAnsi="Times New Roman"/>
                <w:bCs/>
                <w:sz w:val="20"/>
                <w:szCs w:val="20"/>
              </w:rPr>
              <w:t xml:space="preserve"> </w:t>
            </w:r>
            <w:bookmarkStart w:id="4" w:name="OLE_LINK15"/>
            <w:r w:rsidRPr="008E1F03">
              <w:rPr>
                <w:rFonts w:ascii="Times New Roman" w:hAnsi="Times New Roman"/>
                <w:bCs/>
                <w:sz w:val="20"/>
                <w:szCs w:val="20"/>
              </w:rPr>
              <w:t xml:space="preserve">Her nevi tahvil (ipotek finansmanı kuruluşları ve konut finansmanı kuruluşları tarafından ihraç edilen ipotekli sermaye piyasası araçları, varlık teminatlı menkul kıymetler </w:t>
            </w:r>
            <w:proofErr w:type="gramStart"/>
            <w:r w:rsidRPr="008E1F03">
              <w:rPr>
                <w:rFonts w:ascii="Times New Roman" w:hAnsi="Times New Roman"/>
                <w:bCs/>
                <w:sz w:val="20"/>
                <w:szCs w:val="20"/>
              </w:rPr>
              <w:t>dahil</w:t>
            </w:r>
            <w:proofErr w:type="gramEnd"/>
            <w:r w:rsidRPr="008E1F03">
              <w:rPr>
                <w:rFonts w:ascii="Times New Roman" w:hAnsi="Times New Roman"/>
                <w:bCs/>
                <w:sz w:val="20"/>
                <w:szCs w:val="20"/>
              </w:rPr>
              <w:t xml:space="preserve">) ve Hazine bonosu faizleri ile Toplu Konut İdaresi, Özelleştirme İdaresince çıkarılan </w:t>
            </w:r>
            <w:bookmarkStart w:id="5" w:name="OLE_LINK11"/>
            <w:bookmarkStart w:id="6" w:name="OLE_LINK14"/>
            <w:r w:rsidRPr="008E1F03">
              <w:rPr>
                <w:rFonts w:ascii="Times New Roman" w:hAnsi="Times New Roman"/>
                <w:bCs/>
                <w:sz w:val="20"/>
                <w:szCs w:val="20"/>
              </w:rPr>
              <w:t>menkul kıymetler ve varlık kiralama şirketleri tarafından ihraç edilen kira sertifikalarından sağlanan gelirlerden</w:t>
            </w:r>
            <w:bookmarkEnd w:id="5"/>
            <w:r w:rsidRPr="008E1F03">
              <w:rPr>
                <w:rFonts w:ascii="Times New Roman" w:hAnsi="Times New Roman"/>
                <w:bCs/>
                <w:sz w:val="20"/>
                <w:szCs w:val="20"/>
              </w:rPr>
              <w:t xml:space="preserve"> (Döviz cinsinden yahut dövize, altına veya başka bir değere endeksli menkul kıymetlerin itfası sırasında oluşan değer artışları kesintiye tabi tutulmaz);”</w:t>
            </w:r>
            <w:bookmarkEnd w:id="4"/>
            <w:bookmarkEnd w:id="6"/>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“b) Diğerlerinden;</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ba</w:t>
            </w:r>
            <w:proofErr w:type="spellEnd"/>
            <w:r w:rsidRPr="008E1F03">
              <w:rPr>
                <w:rFonts w:ascii="Times New Roman" w:hAnsi="Times New Roman"/>
                <w:bCs/>
                <w:sz w:val="20"/>
                <w:szCs w:val="20"/>
              </w:rPr>
              <w:t>) Tam mükellef kurumlar tarafından yurt dışında ihraç edilen tahvillerin;</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i) Vadesi 1 yıla kadar olanlardan elde edilen faizlerinden % 10,</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ii</w:t>
            </w:r>
            <w:proofErr w:type="spellEnd"/>
            <w:r w:rsidRPr="008E1F03">
              <w:rPr>
                <w:rFonts w:ascii="Times New Roman" w:hAnsi="Times New Roman"/>
                <w:bCs/>
                <w:sz w:val="20"/>
                <w:szCs w:val="20"/>
              </w:rPr>
              <w:t>) Vadesi 1 yıl ile 3 yıl arası olanlardan elde edilen faizlerinden % 7,</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iii</w:t>
            </w:r>
            <w:proofErr w:type="spellEnd"/>
            <w:r w:rsidRPr="008E1F03">
              <w:rPr>
                <w:rFonts w:ascii="Times New Roman" w:hAnsi="Times New Roman"/>
                <w:bCs/>
                <w:sz w:val="20"/>
                <w:szCs w:val="20"/>
              </w:rPr>
              <w:t>) Vadesi 3 yıl ile 5 yıl arası olanlardan elde edilen faizlerinden % 3,</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 xml:space="preserve">iv) Vadesi 5 yıl ve daha uzun olanlardan elde edilen faizlerinden %0, </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bb</w:t>
            </w:r>
            <w:proofErr w:type="spellEnd"/>
            <w:r w:rsidRPr="008E1F03">
              <w:rPr>
                <w:rFonts w:ascii="Times New Roman" w:hAnsi="Times New Roman"/>
                <w:bCs/>
                <w:sz w:val="20"/>
                <w:szCs w:val="20"/>
              </w:rPr>
              <w:t>) Tam mükellef varlık kiralama şirketleri tarafından yurt dışında ihraç edilen kira sertifikalarının;</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i) Vadesi 1 yıla kadar olanlara sağlanan gelirlerden % 10,</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ii</w:t>
            </w:r>
            <w:proofErr w:type="spellEnd"/>
            <w:r w:rsidRPr="008E1F03">
              <w:rPr>
                <w:rFonts w:ascii="Times New Roman" w:hAnsi="Times New Roman"/>
                <w:bCs/>
                <w:sz w:val="20"/>
                <w:szCs w:val="20"/>
              </w:rPr>
              <w:t>) Vadesi 1 yıl ile 3 yıl arası olanlara sağlanan gelirlerden % 7,</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t>iii</w:t>
            </w:r>
            <w:proofErr w:type="spellEnd"/>
            <w:r w:rsidRPr="008E1F03">
              <w:rPr>
                <w:rFonts w:ascii="Times New Roman" w:hAnsi="Times New Roman"/>
                <w:bCs/>
                <w:sz w:val="20"/>
                <w:szCs w:val="20"/>
              </w:rPr>
              <w:t>) Vadesi 3 yıl ile 5 yıl arası olanlara sağlanan gelirlerden % 3,</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 xml:space="preserve">iv) Vadesi 5 yıl ve daha uzun olanlara sağlanan gelirlerden %0, </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proofErr w:type="spellStart"/>
            <w:r w:rsidRPr="008E1F03">
              <w:rPr>
                <w:rFonts w:ascii="Times New Roman" w:hAnsi="Times New Roman"/>
                <w:bCs/>
                <w:sz w:val="20"/>
                <w:szCs w:val="20"/>
              </w:rPr>
              <w:lastRenderedPageBreak/>
              <w:t>bc</w:t>
            </w:r>
            <w:proofErr w:type="spellEnd"/>
            <w:r w:rsidRPr="008E1F03">
              <w:rPr>
                <w:rFonts w:ascii="Times New Roman" w:hAnsi="Times New Roman"/>
                <w:bCs/>
                <w:sz w:val="20"/>
                <w:szCs w:val="20"/>
              </w:rPr>
              <w:t>) (</w:t>
            </w:r>
            <w:bookmarkStart w:id="7" w:name="OLE_LINK12"/>
            <w:bookmarkStart w:id="8" w:name="OLE_LINK13"/>
            <w:bookmarkStart w:id="9" w:name="OLE_LINK16"/>
            <w:proofErr w:type="spellStart"/>
            <w:r w:rsidRPr="008E1F03">
              <w:rPr>
                <w:rStyle w:val="spelle"/>
                <w:rFonts w:ascii="Times New Roman" w:hAnsi="Times New Roman"/>
                <w:bCs/>
                <w:sz w:val="20"/>
                <w:szCs w:val="20"/>
              </w:rPr>
              <w:t>ba</w:t>
            </w:r>
            <w:proofErr w:type="spellEnd"/>
            <w:r w:rsidRPr="008E1F03">
              <w:rPr>
                <w:rFonts w:ascii="Times New Roman" w:hAnsi="Times New Roman"/>
                <w:bCs/>
                <w:sz w:val="20"/>
                <w:szCs w:val="20"/>
              </w:rPr>
              <w:t>) ve (</w:t>
            </w:r>
            <w:proofErr w:type="spellStart"/>
            <w:r w:rsidRPr="008E1F03">
              <w:rPr>
                <w:rStyle w:val="spelle"/>
                <w:rFonts w:ascii="Times New Roman" w:hAnsi="Times New Roman"/>
                <w:bCs/>
                <w:sz w:val="20"/>
                <w:szCs w:val="20"/>
              </w:rPr>
              <w:t>bb</w:t>
            </w:r>
            <w:bookmarkEnd w:id="7"/>
            <w:bookmarkEnd w:id="8"/>
            <w:bookmarkEnd w:id="9"/>
            <w:proofErr w:type="spellEnd"/>
            <w:r w:rsidRPr="008E1F03">
              <w:rPr>
                <w:rFonts w:ascii="Times New Roman" w:hAnsi="Times New Roman"/>
                <w:bCs/>
                <w:sz w:val="20"/>
                <w:szCs w:val="20"/>
              </w:rPr>
              <w:t>)’de belirtilenler dışında kalanlar için % 10,”</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
                <w:bCs/>
                <w:sz w:val="20"/>
                <w:szCs w:val="20"/>
              </w:rPr>
              <w:t xml:space="preserve">MADDE 3 </w:t>
            </w:r>
            <w:r w:rsidRPr="008E1F03">
              <w:rPr>
                <w:rFonts w:ascii="Times New Roman" w:hAnsi="Cambria Math"/>
                <w:b/>
                <w:bCs/>
                <w:sz w:val="20"/>
                <w:szCs w:val="20"/>
              </w:rPr>
              <w:t>‒</w:t>
            </w:r>
            <w:r w:rsidRPr="008E1F03">
              <w:rPr>
                <w:rFonts w:ascii="Times New Roman" w:hAnsi="Times New Roman"/>
                <w:b/>
                <w:bCs/>
                <w:sz w:val="20"/>
                <w:szCs w:val="20"/>
              </w:rPr>
              <w:t xml:space="preserve"> </w:t>
            </w:r>
            <w:proofErr w:type="gramStart"/>
            <w:r w:rsidRPr="008E1F03">
              <w:rPr>
                <w:rFonts w:ascii="Times New Roman" w:hAnsi="Times New Roman"/>
                <w:sz w:val="20"/>
                <w:szCs w:val="20"/>
              </w:rPr>
              <w:t>12</w:t>
            </w:r>
            <w:r w:rsidRPr="008E1F03">
              <w:rPr>
                <w:rFonts w:ascii="Times New Roman" w:hAnsi="Times New Roman"/>
                <w:bCs/>
                <w:sz w:val="20"/>
                <w:szCs w:val="20"/>
              </w:rPr>
              <w:t>/1/2009</w:t>
            </w:r>
            <w:proofErr w:type="gramEnd"/>
            <w:r w:rsidRPr="008E1F03">
              <w:rPr>
                <w:rFonts w:ascii="Times New Roman" w:hAnsi="Times New Roman"/>
                <w:bCs/>
                <w:sz w:val="20"/>
                <w:szCs w:val="20"/>
              </w:rPr>
              <w:t xml:space="preserve"> tarihli ve 2009/14594 </w:t>
            </w:r>
            <w:proofErr w:type="spellStart"/>
            <w:r w:rsidRPr="008E1F03">
              <w:rPr>
                <w:rFonts w:ascii="Times New Roman" w:hAnsi="Times New Roman"/>
                <w:bCs/>
                <w:sz w:val="20"/>
                <w:szCs w:val="20"/>
              </w:rPr>
              <w:t>sayılı</w:t>
            </w:r>
            <w:r w:rsidRPr="008E1F03">
              <w:rPr>
                <w:rFonts w:ascii="Times New Roman" w:hAnsi="Times New Roman"/>
                <w:sz w:val="20"/>
                <w:szCs w:val="20"/>
              </w:rPr>
              <w:t>Kararnamenin</w:t>
            </w:r>
            <w:proofErr w:type="spellEnd"/>
            <w:r w:rsidRPr="008E1F03">
              <w:rPr>
                <w:rFonts w:ascii="Times New Roman" w:hAnsi="Times New Roman"/>
                <w:sz w:val="20"/>
                <w:szCs w:val="20"/>
              </w:rPr>
              <w:t xml:space="preserve"> eki</w:t>
            </w:r>
            <w:r w:rsidRPr="008E1F03">
              <w:rPr>
                <w:rFonts w:ascii="Times New Roman" w:hAnsi="Times New Roman"/>
                <w:bCs/>
                <w:sz w:val="20"/>
                <w:szCs w:val="20"/>
              </w:rPr>
              <w:t xml:space="preserve"> Kararın </w:t>
            </w:r>
            <w:r w:rsidRPr="008E1F03">
              <w:rPr>
                <w:rFonts w:ascii="Times New Roman" w:hAnsi="Times New Roman"/>
                <w:sz w:val="20"/>
                <w:szCs w:val="20"/>
              </w:rPr>
              <w:t>1 inci maddesinin birinci fıkrasının (3) numaralı bendinin birinci paragrafı ve (b) alt bendi aşağıdaki şekilde değiştirilmiştir.</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xml:space="preserve">“3 </w:t>
            </w:r>
            <w:r w:rsidRPr="008E1F03">
              <w:rPr>
                <w:rFonts w:ascii="Times New Roman" w:hAnsi="Cambria Math"/>
                <w:sz w:val="20"/>
                <w:szCs w:val="20"/>
              </w:rPr>
              <w:t>‒</w:t>
            </w:r>
            <w:r w:rsidRPr="008E1F03">
              <w:rPr>
                <w:rFonts w:ascii="Times New Roman" w:hAnsi="Times New Roman"/>
                <w:sz w:val="20"/>
                <w:szCs w:val="20"/>
              </w:rPr>
              <w:t xml:space="preserve"> </w:t>
            </w:r>
            <w:r w:rsidRPr="008E1F03">
              <w:rPr>
                <w:rFonts w:ascii="Times New Roman" w:hAnsi="Times New Roman"/>
                <w:bCs/>
                <w:sz w:val="20"/>
                <w:szCs w:val="20"/>
              </w:rPr>
              <w:t xml:space="preserve">Her nevi tahvil (ipotek finansmanı kuruluşları ve konut finansmanı kuruluşları tarafından ihraç edilen ipotekli sermaye piyasası araçları, varlık teminatlı menkul kıymetler </w:t>
            </w:r>
            <w:proofErr w:type="gramStart"/>
            <w:r w:rsidRPr="008E1F03">
              <w:rPr>
                <w:rFonts w:ascii="Times New Roman" w:hAnsi="Times New Roman"/>
                <w:bCs/>
                <w:sz w:val="20"/>
                <w:szCs w:val="20"/>
              </w:rPr>
              <w:t>dahil</w:t>
            </w:r>
            <w:proofErr w:type="gramEnd"/>
            <w:r w:rsidRPr="008E1F03">
              <w:rPr>
                <w:rFonts w:ascii="Times New Roman" w:hAnsi="Times New Roman"/>
                <w:bCs/>
                <w:sz w:val="20"/>
                <w:szCs w:val="20"/>
              </w:rPr>
              <w:t>) ve Hazine bonosu faizleri ile Toplu Konut (ş.abacı)İdaresi, Özelleştirme İdaresince çıkarılan menkul kıymetler ve varlık kiralama şirketleri tarafından ihraç edilen kira sertifikalarından sağlanan gelirlerden (Döviz cinsinden yahut dövize, altına veya başka bir değere endeksli menkul kıymetlerin itfası sırasında oluşan değer artışları kesintiye tabi tutulmaz);”</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“b) Diğerlerinden;</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proofErr w:type="spellStart"/>
            <w:r w:rsidRPr="008E1F03">
              <w:rPr>
                <w:rStyle w:val="spelle"/>
                <w:rFonts w:ascii="Times New Roman" w:hAnsi="Times New Roman"/>
                <w:bCs/>
                <w:sz w:val="20"/>
                <w:szCs w:val="20"/>
              </w:rPr>
              <w:t>ba</w:t>
            </w:r>
            <w:proofErr w:type="spellEnd"/>
            <w:r w:rsidRPr="008E1F03">
              <w:rPr>
                <w:rFonts w:ascii="Times New Roman" w:hAnsi="Times New Roman"/>
                <w:bCs/>
                <w:sz w:val="20"/>
                <w:szCs w:val="20"/>
              </w:rPr>
              <w:t>) Tam mükellef kurumlar tarafından yurt dışında ihraç edilen tahvillerin;</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i) Vadesi 1 yıla kadar olanlardan elde edilen faizlerinden % 10,</w:t>
            </w:r>
          </w:p>
          <w:p w:rsidR="008E1F03" w:rsidRPr="008E1F03" w:rsidRDefault="008E1F03" w:rsidP="008E1F03">
            <w:pPr>
              <w:jc w:val="both"/>
              <w:rPr>
                <w:rFonts w:ascii="Times New Roman" w:hAnsi="Times New Roman"/>
                <w:sz w:val="20"/>
                <w:szCs w:val="20"/>
              </w:rPr>
            </w:pPr>
            <w:proofErr w:type="spellStart"/>
            <w:r w:rsidRPr="008E1F03">
              <w:rPr>
                <w:rStyle w:val="spelle"/>
                <w:rFonts w:ascii="Times New Roman" w:hAnsi="Times New Roman"/>
                <w:bCs/>
                <w:sz w:val="20"/>
                <w:szCs w:val="20"/>
              </w:rPr>
              <w:t>ii</w:t>
            </w:r>
            <w:proofErr w:type="spellEnd"/>
            <w:r w:rsidRPr="008E1F03">
              <w:rPr>
                <w:rFonts w:ascii="Times New Roman" w:hAnsi="Times New Roman"/>
                <w:bCs/>
                <w:sz w:val="20"/>
                <w:szCs w:val="20"/>
              </w:rPr>
              <w:t>) Vadesi 1 yıl ile 3 yıl arası olanlardan elde edilen faizlerinden % 7,</w:t>
            </w:r>
          </w:p>
          <w:p w:rsidR="008E1F03" w:rsidRPr="008E1F03" w:rsidRDefault="008E1F03" w:rsidP="008E1F03">
            <w:pPr>
              <w:jc w:val="both"/>
              <w:rPr>
                <w:rFonts w:ascii="Times New Roman" w:hAnsi="Times New Roman"/>
                <w:sz w:val="20"/>
                <w:szCs w:val="20"/>
              </w:rPr>
            </w:pPr>
            <w:proofErr w:type="spellStart"/>
            <w:r w:rsidRPr="008E1F03">
              <w:rPr>
                <w:rStyle w:val="spelle"/>
                <w:rFonts w:ascii="Times New Roman" w:hAnsi="Times New Roman"/>
                <w:bCs/>
                <w:sz w:val="20"/>
                <w:szCs w:val="20"/>
              </w:rPr>
              <w:t>iii</w:t>
            </w:r>
            <w:proofErr w:type="spellEnd"/>
            <w:r w:rsidRPr="008E1F03">
              <w:rPr>
                <w:rFonts w:ascii="Times New Roman" w:hAnsi="Times New Roman"/>
                <w:bCs/>
                <w:sz w:val="20"/>
                <w:szCs w:val="20"/>
              </w:rPr>
              <w:t>) Vadesi 3 yıl ile 5 yıl arası olanlardan elde edilen faizlerinden % 3,</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 xml:space="preserve">iv) Vadesi 5 yıl ve daha uzun olanlardan elde edilen faizlerinden %0, </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proofErr w:type="spellStart"/>
            <w:r w:rsidRPr="008E1F03">
              <w:rPr>
                <w:rStyle w:val="spelle"/>
                <w:rFonts w:ascii="Times New Roman" w:hAnsi="Times New Roman"/>
                <w:bCs/>
                <w:sz w:val="20"/>
                <w:szCs w:val="20"/>
              </w:rPr>
              <w:t>bb</w:t>
            </w:r>
            <w:proofErr w:type="spellEnd"/>
            <w:r w:rsidRPr="008E1F03">
              <w:rPr>
                <w:rFonts w:ascii="Times New Roman" w:hAnsi="Times New Roman"/>
                <w:bCs/>
                <w:sz w:val="20"/>
                <w:szCs w:val="20"/>
              </w:rPr>
              <w:t>) Tam mükellef varlık kiralama şirketleri tarafından yurt dışında ihraç edilen kira sertifikalarının;</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i) Vadesi 1 yıla kadar olanlara sağlanan gelirlerden % 10,</w:t>
            </w:r>
          </w:p>
          <w:p w:rsidR="008E1F03" w:rsidRPr="008E1F03" w:rsidRDefault="008E1F03" w:rsidP="008E1F03">
            <w:pPr>
              <w:jc w:val="both"/>
              <w:rPr>
                <w:rFonts w:ascii="Times New Roman" w:hAnsi="Times New Roman"/>
                <w:sz w:val="20"/>
                <w:szCs w:val="20"/>
              </w:rPr>
            </w:pPr>
            <w:proofErr w:type="spellStart"/>
            <w:r w:rsidRPr="008E1F03">
              <w:rPr>
                <w:rStyle w:val="spelle"/>
                <w:rFonts w:ascii="Times New Roman" w:hAnsi="Times New Roman"/>
                <w:bCs/>
                <w:sz w:val="20"/>
                <w:szCs w:val="20"/>
              </w:rPr>
              <w:t>ii</w:t>
            </w:r>
            <w:proofErr w:type="spellEnd"/>
            <w:r w:rsidRPr="008E1F03">
              <w:rPr>
                <w:rFonts w:ascii="Times New Roman" w:hAnsi="Times New Roman"/>
                <w:bCs/>
                <w:sz w:val="20"/>
                <w:szCs w:val="20"/>
              </w:rPr>
              <w:t>) Vadesi 1 yıl ile 3 yıl arası olanlara sağlanan gelirlerden % 7,</w:t>
            </w:r>
          </w:p>
          <w:p w:rsidR="008E1F03" w:rsidRPr="008E1F03" w:rsidRDefault="008E1F03" w:rsidP="008E1F03">
            <w:pPr>
              <w:jc w:val="both"/>
              <w:rPr>
                <w:rFonts w:ascii="Times New Roman" w:hAnsi="Times New Roman"/>
                <w:sz w:val="20"/>
                <w:szCs w:val="20"/>
              </w:rPr>
            </w:pPr>
            <w:proofErr w:type="spellStart"/>
            <w:r w:rsidRPr="008E1F03">
              <w:rPr>
                <w:rStyle w:val="spelle"/>
                <w:rFonts w:ascii="Times New Roman" w:hAnsi="Times New Roman"/>
                <w:bCs/>
                <w:sz w:val="20"/>
                <w:szCs w:val="20"/>
              </w:rPr>
              <w:t>iii</w:t>
            </w:r>
            <w:proofErr w:type="spellEnd"/>
            <w:r w:rsidRPr="008E1F03">
              <w:rPr>
                <w:rFonts w:ascii="Times New Roman" w:hAnsi="Times New Roman"/>
                <w:bCs/>
                <w:sz w:val="20"/>
                <w:szCs w:val="20"/>
              </w:rPr>
              <w:t>) Vadesi 3 yıl ile 5 yıl arası olanlara sağlanan gelirlerden % 3,</w:t>
            </w:r>
          </w:p>
          <w:p w:rsidR="008E1F03" w:rsidRPr="008E1F03" w:rsidRDefault="008E1F03" w:rsidP="008E1F03">
            <w:pPr>
              <w:jc w:val="both"/>
              <w:rPr>
                <w:rFonts w:ascii="Times New Roman" w:hAnsi="Times New Roman"/>
                <w:sz w:val="20"/>
                <w:szCs w:val="20"/>
              </w:rPr>
            </w:pPr>
            <w:r w:rsidRPr="008E1F03">
              <w:rPr>
                <w:rFonts w:ascii="Times New Roman" w:hAnsi="Times New Roman"/>
                <w:bCs/>
                <w:sz w:val="20"/>
                <w:szCs w:val="20"/>
              </w:rPr>
              <w:t xml:space="preserve">iv) Vadesi 5 yıl ve daha uzun olanlara sağlanan gelirlerden %0, </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proofErr w:type="spellStart"/>
            <w:r w:rsidRPr="008E1F03">
              <w:rPr>
                <w:rStyle w:val="spelle"/>
                <w:rFonts w:ascii="Times New Roman" w:hAnsi="Times New Roman"/>
                <w:bCs/>
                <w:sz w:val="20"/>
                <w:szCs w:val="20"/>
              </w:rPr>
              <w:t>bc</w:t>
            </w:r>
            <w:proofErr w:type="spellEnd"/>
            <w:r w:rsidRPr="008E1F03">
              <w:rPr>
                <w:rFonts w:ascii="Times New Roman" w:hAnsi="Times New Roman"/>
                <w:bCs/>
                <w:sz w:val="20"/>
                <w:szCs w:val="20"/>
              </w:rPr>
              <w:t>) (</w:t>
            </w:r>
            <w:proofErr w:type="spellStart"/>
            <w:r w:rsidRPr="008E1F03">
              <w:rPr>
                <w:rStyle w:val="spelle"/>
                <w:rFonts w:ascii="Times New Roman" w:hAnsi="Times New Roman"/>
                <w:bCs/>
                <w:sz w:val="20"/>
                <w:szCs w:val="20"/>
              </w:rPr>
              <w:t>ba</w:t>
            </w:r>
            <w:proofErr w:type="spellEnd"/>
            <w:r w:rsidRPr="008E1F03">
              <w:rPr>
                <w:rFonts w:ascii="Times New Roman" w:hAnsi="Times New Roman"/>
                <w:bCs/>
                <w:sz w:val="20"/>
                <w:szCs w:val="20"/>
              </w:rPr>
              <w:t>) ve (</w:t>
            </w:r>
            <w:proofErr w:type="spellStart"/>
            <w:r w:rsidRPr="008E1F03">
              <w:rPr>
                <w:rStyle w:val="spelle"/>
                <w:rFonts w:ascii="Times New Roman" w:hAnsi="Times New Roman"/>
                <w:bCs/>
                <w:sz w:val="20"/>
                <w:szCs w:val="20"/>
              </w:rPr>
              <w:t>bb</w:t>
            </w:r>
            <w:proofErr w:type="spellEnd"/>
            <w:r w:rsidRPr="008E1F03">
              <w:rPr>
                <w:rFonts w:ascii="Times New Roman" w:hAnsi="Times New Roman"/>
                <w:bCs/>
                <w:sz w:val="20"/>
                <w:szCs w:val="20"/>
              </w:rPr>
              <w:t>)’de belirtilenler dışında kalanlar için % 10,”</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
                <w:sz w:val="20"/>
                <w:szCs w:val="20"/>
              </w:rPr>
              <w:t xml:space="preserve">MADDE 4 </w:t>
            </w:r>
            <w:r w:rsidRPr="008E1F03">
              <w:rPr>
                <w:rFonts w:ascii="Times New Roman" w:hAnsi="Cambria Math"/>
                <w:b/>
                <w:sz w:val="20"/>
                <w:szCs w:val="20"/>
              </w:rPr>
              <w:t>‒</w:t>
            </w:r>
            <w:r w:rsidRPr="008E1F03">
              <w:rPr>
                <w:rFonts w:ascii="Times New Roman" w:hAnsi="Times New Roman"/>
                <w:b/>
                <w:sz w:val="20"/>
                <w:szCs w:val="20"/>
              </w:rPr>
              <w:t xml:space="preserve"> </w:t>
            </w:r>
            <w:proofErr w:type="gramStart"/>
            <w:r w:rsidRPr="008E1F03">
              <w:rPr>
                <w:rFonts w:ascii="Times New Roman" w:hAnsi="Times New Roman"/>
                <w:sz w:val="20"/>
                <w:szCs w:val="20"/>
              </w:rPr>
              <w:t>22/7/2006</w:t>
            </w:r>
            <w:proofErr w:type="gramEnd"/>
            <w:r w:rsidRPr="008E1F03">
              <w:rPr>
                <w:rFonts w:ascii="Times New Roman" w:hAnsi="Times New Roman"/>
                <w:sz w:val="20"/>
                <w:szCs w:val="20"/>
              </w:rPr>
              <w:t xml:space="preserve"> tarihli ve 2006/10731 sayılı Kararnamenin eki Kararın </w:t>
            </w:r>
            <w:bookmarkStart w:id="10" w:name="OLE_LINK34"/>
            <w:r w:rsidRPr="008E1F03">
              <w:rPr>
                <w:rFonts w:ascii="Times New Roman" w:hAnsi="Times New Roman"/>
                <w:sz w:val="20"/>
                <w:szCs w:val="20"/>
              </w:rPr>
              <w:t xml:space="preserve">1 inci maddesinin birinci fıkrasının </w:t>
            </w:r>
            <w:bookmarkEnd w:id="10"/>
            <w:r w:rsidRPr="008E1F03">
              <w:rPr>
                <w:rFonts w:ascii="Times New Roman" w:hAnsi="Times New Roman"/>
                <w:sz w:val="20"/>
                <w:szCs w:val="20"/>
              </w:rPr>
              <w:t>(a) bendinin (3) numaralı alt bendi ile (ç) bendi aşağıdaki şekilde değiştirilmiştir.</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lastRenderedPageBreak/>
              <w:t>“3) (2) ve (3) numaralı fıkralarda yer alan oran; tam ve dar mükellef gerçek kişi ve kurumlar [(c) bendinde sayılanlar hariç] tarafından elde edilen kazançlar (yurt dışında ihraç edilen tahviller ve kira sertifikalarından elde edilenler hariç) için %10,”</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xml:space="preserve">“ç) (11) numaralı fıkrada yer alan oran; hisse senetlerine ve hisse senedi endekslerine dayalı olarak yapılan vadeli işlem ve </w:t>
            </w:r>
            <w:proofErr w:type="gramStart"/>
            <w:r w:rsidRPr="008E1F03">
              <w:rPr>
                <w:rFonts w:ascii="Times New Roman" w:hAnsi="Times New Roman"/>
                <w:sz w:val="20"/>
                <w:szCs w:val="20"/>
              </w:rPr>
              <w:t>opsiyon</w:t>
            </w:r>
            <w:proofErr w:type="gramEnd"/>
            <w:r w:rsidRPr="008E1F03">
              <w:rPr>
                <w:rFonts w:ascii="Times New Roman" w:hAnsi="Times New Roman"/>
                <w:sz w:val="20"/>
                <w:szCs w:val="20"/>
              </w:rPr>
              <w:t xml:space="preserve"> sözleşmeleri ve İstanbul Menkul Kıymetler Borsasında işlem gören aracı kuruluş </w:t>
            </w:r>
            <w:proofErr w:type="spellStart"/>
            <w:r w:rsidRPr="008E1F03">
              <w:rPr>
                <w:rStyle w:val="spelle"/>
                <w:rFonts w:ascii="Times New Roman" w:hAnsi="Times New Roman"/>
                <w:sz w:val="20"/>
                <w:szCs w:val="20"/>
              </w:rPr>
              <w:t>varantları</w:t>
            </w:r>
            <w:proofErr w:type="spellEnd"/>
            <w:r w:rsidRPr="008E1F03">
              <w:rPr>
                <w:rFonts w:ascii="Times New Roman" w:hAnsi="Times New Roman"/>
                <w:sz w:val="20"/>
                <w:szCs w:val="20"/>
              </w:rPr>
              <w:t xml:space="preserve"> dahil olmak üzere hisse senetlerinden (menkul kıymetler yatırım ortaklıkları hisse senetleri hariç) elde edilen kazançlar için %0, diğer kazançlar için %10.”</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
                <w:sz w:val="20"/>
                <w:szCs w:val="20"/>
              </w:rPr>
              <w:t xml:space="preserve">MADDE 5 </w:t>
            </w:r>
            <w:r w:rsidRPr="008E1F03">
              <w:rPr>
                <w:rFonts w:ascii="Times New Roman" w:hAnsi="Cambria Math"/>
                <w:b/>
                <w:sz w:val="20"/>
                <w:szCs w:val="20"/>
              </w:rPr>
              <w:t>‒</w:t>
            </w:r>
            <w:r w:rsidRPr="008E1F03">
              <w:rPr>
                <w:rFonts w:ascii="Times New Roman" w:hAnsi="Times New Roman"/>
                <w:b/>
                <w:sz w:val="20"/>
                <w:szCs w:val="20"/>
              </w:rPr>
              <w:t xml:space="preserve"> </w:t>
            </w:r>
            <w:proofErr w:type="gramStart"/>
            <w:r w:rsidRPr="008E1F03">
              <w:rPr>
                <w:rFonts w:ascii="Times New Roman" w:hAnsi="Times New Roman"/>
                <w:sz w:val="20"/>
                <w:szCs w:val="20"/>
              </w:rPr>
              <w:t>13/7/1956</w:t>
            </w:r>
            <w:proofErr w:type="gramEnd"/>
            <w:r w:rsidRPr="008E1F03">
              <w:rPr>
                <w:rFonts w:ascii="Times New Roman" w:hAnsi="Times New Roman"/>
                <w:sz w:val="20"/>
                <w:szCs w:val="20"/>
              </w:rPr>
              <w:t xml:space="preserve"> tarihli ve 6802 sayılı Gider Vergileri Kanununun 33 üncü maddesinde yer alan banka ve sigorta muameleleri vergisi nispetleri hakkındaki 28/8/1998 tarihli ve 98/11591 sayılı Kararnamenin eki Kararın 1 inci maddesinin (f) ve (g) bendi aşağıdaki şekilde değiştirilmiştir.</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“f) Yurt içinde Türk Lirası cinsinden ihraç edilen tahviller ve varlık kiralama şirketleri tarafından ihraç edilen kira sertifikalarının geri alım ve satım taahhüdü ile iktisap veya elden çıkarılması karşılığında lehe alınan paralar üzerinden %1,</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g) Yurt içinde Türk Lirası cinsinden ihraç edilen tahviller ve varlık kiralama şirketleri tarafından ihraç edilen kira sertifikalarının vadesi beklenmeksizin satışı nedeniyle lehe alınan paralar üzerinden %1,”</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
                <w:sz w:val="20"/>
                <w:szCs w:val="20"/>
              </w:rPr>
              <w:t xml:space="preserve">MADDE 6 </w:t>
            </w:r>
            <w:r w:rsidRPr="008E1F03">
              <w:rPr>
                <w:rFonts w:ascii="Times New Roman" w:hAnsi="Cambria Math"/>
                <w:b/>
                <w:sz w:val="20"/>
                <w:szCs w:val="20"/>
              </w:rPr>
              <w:t>‒</w:t>
            </w:r>
            <w:r w:rsidRPr="008E1F03">
              <w:rPr>
                <w:rFonts w:ascii="Times New Roman" w:hAnsi="Times New Roman"/>
                <w:b/>
                <w:sz w:val="20"/>
                <w:szCs w:val="20"/>
              </w:rPr>
              <w:t xml:space="preserve"> </w:t>
            </w:r>
            <w:r w:rsidRPr="008E1F03">
              <w:rPr>
                <w:rFonts w:ascii="Times New Roman" w:hAnsi="Times New Roman"/>
                <w:sz w:val="20"/>
                <w:szCs w:val="20"/>
              </w:rPr>
              <w:t>Bu Karar yayımı tarihinde yürürlüğe girer.</w:t>
            </w:r>
          </w:p>
          <w:p w:rsidR="008E1F03" w:rsidRPr="008E1F03" w:rsidRDefault="008E1F03" w:rsidP="008E1F03">
            <w:pPr>
              <w:jc w:val="both"/>
              <w:rPr>
                <w:rFonts w:ascii="Times New Roman" w:hAnsi="Times New Roman"/>
                <w:sz w:val="20"/>
                <w:szCs w:val="20"/>
              </w:rPr>
            </w:pPr>
            <w:r w:rsidRPr="008E1F03">
              <w:rPr>
                <w:rFonts w:ascii="Times New Roman" w:hAnsi="Times New Roman"/>
                <w:sz w:val="20"/>
                <w:szCs w:val="20"/>
              </w:rPr>
              <w:t> </w:t>
            </w:r>
          </w:p>
          <w:p w:rsidR="008E1F03" w:rsidRPr="008E1F03" w:rsidRDefault="008E1F03" w:rsidP="008E1F03">
            <w:pPr>
              <w:jc w:val="both"/>
              <w:rPr>
                <w:rFonts w:ascii="Times New Roman" w:hAnsi="Times New Roman"/>
                <w:sz w:val="20"/>
                <w:szCs w:val="20"/>
              </w:rPr>
            </w:pPr>
            <w:r w:rsidRPr="008E1F03">
              <w:rPr>
                <w:rFonts w:ascii="Times New Roman" w:hAnsi="Times New Roman"/>
                <w:b/>
                <w:bCs/>
                <w:sz w:val="20"/>
                <w:szCs w:val="20"/>
              </w:rPr>
              <w:t xml:space="preserve">MADDE 7 </w:t>
            </w:r>
            <w:r w:rsidRPr="008E1F03">
              <w:rPr>
                <w:rFonts w:ascii="Times New Roman" w:hAnsi="Cambria Math"/>
                <w:b/>
                <w:bCs/>
                <w:sz w:val="20"/>
                <w:szCs w:val="20"/>
              </w:rPr>
              <w:t>‒</w:t>
            </w:r>
            <w:r w:rsidRPr="008E1F03">
              <w:rPr>
                <w:rFonts w:ascii="Times New Roman" w:hAnsi="Times New Roman"/>
                <w:b/>
                <w:bCs/>
                <w:sz w:val="20"/>
                <w:szCs w:val="20"/>
              </w:rPr>
              <w:t xml:space="preserve"> </w:t>
            </w:r>
            <w:r w:rsidRPr="008E1F03">
              <w:rPr>
                <w:rFonts w:ascii="Times New Roman" w:hAnsi="Times New Roman"/>
                <w:bCs/>
                <w:sz w:val="20"/>
                <w:szCs w:val="20"/>
              </w:rPr>
              <w:t>Bu Karar hükümlerini Maliye Bakanı yürütür.</w:t>
            </w:r>
          </w:p>
          <w:p w:rsidR="008E1F03" w:rsidRPr="008E1F03" w:rsidRDefault="008E1F03" w:rsidP="008E1F03">
            <w:pPr>
              <w:pStyle w:val="GvdeMetni2"/>
              <w:spacing w:line="276" w:lineRule="auto"/>
              <w:rPr>
                <w:sz w:val="20"/>
              </w:rPr>
            </w:pPr>
            <w:r w:rsidRPr="008E1F03">
              <w:rPr>
                <w:sz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9"/>
              <w:gridCol w:w="222"/>
              <w:gridCol w:w="4144"/>
            </w:tblGrid>
            <w:tr w:rsidR="008E1F03" w:rsidRPr="008E1F03">
              <w:trPr>
                <w:trHeight w:val="613"/>
                <w:jc w:val="center"/>
              </w:trPr>
              <w:tc>
                <w:tcPr>
                  <w:tcW w:w="8505" w:type="dxa"/>
                  <w:gridSpan w:val="3"/>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b/>
                      <w:sz w:val="20"/>
                      <w:szCs w:val="20"/>
                    </w:rPr>
                    <w:t>12/1/2009</w:t>
                  </w:r>
                  <w:proofErr w:type="gramEnd"/>
                  <w:r w:rsidRPr="008E1F03">
                    <w:rPr>
                      <w:rFonts w:ascii="Times New Roman" w:hAnsi="Times New Roman"/>
                      <w:b/>
                      <w:sz w:val="20"/>
                      <w:szCs w:val="20"/>
                    </w:rPr>
                    <w:t xml:space="preserve"> tarihli ve 2009/14592 Sayılı</w:t>
                  </w:r>
                  <w:r w:rsidRPr="008E1F03">
                    <w:rPr>
                      <w:rFonts w:ascii="Times New Roman" w:hAnsi="Times New Roman"/>
                      <w:sz w:val="20"/>
                      <w:szCs w:val="20"/>
                    </w:rPr>
                    <w:t xml:space="preserve"> </w:t>
                  </w:r>
                  <w:r w:rsidRPr="008E1F03">
                    <w:rPr>
                      <w:rFonts w:ascii="Times New Roman" w:hAnsi="Times New Roman"/>
                      <w:b/>
                      <w:sz w:val="20"/>
                      <w:szCs w:val="20"/>
                    </w:rPr>
                    <w:t xml:space="preserve">Bakanlar Kurulu Kararının Yayımlandığı </w:t>
                  </w:r>
                  <w:r w:rsidRPr="008E1F03">
                    <w:rPr>
                      <w:rFonts w:ascii="Times New Roman" w:hAnsi="Times New Roman"/>
                      <w:b/>
                      <w:sz w:val="20"/>
                      <w:szCs w:val="20"/>
                    </w:rPr>
                    <w:br/>
                    <w:t>Resmî Gazetenin</w:t>
                  </w:r>
                </w:p>
              </w:tc>
            </w:tr>
            <w:tr w:rsidR="008E1F03" w:rsidRPr="008E1F03">
              <w:trPr>
                <w:jc w:val="center"/>
              </w:trPr>
              <w:tc>
                <w:tcPr>
                  <w:tcW w:w="4266" w:type="dxa"/>
                  <w:gridSpan w:val="2"/>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Tarihi</w:t>
                  </w:r>
                </w:p>
              </w:tc>
              <w:tc>
                <w:tcPr>
                  <w:tcW w:w="4239"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Sayısı</w:t>
                  </w:r>
                </w:p>
              </w:tc>
            </w:tr>
            <w:tr w:rsidR="008E1F03" w:rsidRPr="008E1F03">
              <w:trPr>
                <w:jc w:val="center"/>
              </w:trPr>
              <w:tc>
                <w:tcPr>
                  <w:tcW w:w="4266" w:type="dxa"/>
                  <w:gridSpan w:val="2"/>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sz w:val="20"/>
                      <w:szCs w:val="20"/>
                    </w:rPr>
                    <w:t>3/2/2009</w:t>
                  </w:r>
                  <w:proofErr w:type="gramEnd"/>
                </w:p>
              </w:tc>
              <w:tc>
                <w:tcPr>
                  <w:tcW w:w="4239"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sz w:val="20"/>
                      <w:szCs w:val="20"/>
                    </w:rPr>
                    <w:t>27130</w:t>
                  </w:r>
                </w:p>
              </w:tc>
            </w:tr>
            <w:tr w:rsidR="008E1F03" w:rsidRPr="008E1F03">
              <w:trPr>
                <w:trHeight w:val="315"/>
                <w:jc w:val="center"/>
              </w:trPr>
              <w:tc>
                <w:tcPr>
                  <w:tcW w:w="850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E1F03" w:rsidRPr="008E1F03" w:rsidRDefault="008E1F03">
                  <w:pPr>
                    <w:jc w:val="center"/>
                    <w:rPr>
                      <w:rFonts w:ascii="Times New Roman" w:hAnsi="Times New Roman"/>
                      <w:color w:val="000000"/>
                      <w:sz w:val="20"/>
                      <w:szCs w:val="20"/>
                    </w:rPr>
                  </w:pPr>
                  <w:proofErr w:type="gramStart"/>
                  <w:r w:rsidRPr="008E1F03">
                    <w:rPr>
                      <w:rFonts w:ascii="Times New Roman" w:hAnsi="Times New Roman"/>
                      <w:b/>
                      <w:sz w:val="20"/>
                      <w:szCs w:val="20"/>
                    </w:rPr>
                    <w:t>12/1/2009</w:t>
                  </w:r>
                  <w:proofErr w:type="gramEnd"/>
                  <w:r w:rsidRPr="008E1F03">
                    <w:rPr>
                      <w:rFonts w:ascii="Times New Roman" w:hAnsi="Times New Roman"/>
                      <w:b/>
                      <w:sz w:val="20"/>
                      <w:szCs w:val="20"/>
                    </w:rPr>
                    <w:t xml:space="preserve"> tarihli ve 2009/14592 Sayılı Bakanlar Kurulu Kararında Değişiklik Yapan Düzenlemenin Yayımlandığı Resmî Gazetenin</w:t>
                  </w:r>
                </w:p>
              </w:tc>
            </w:tr>
            <w:tr w:rsidR="008E1F03" w:rsidRPr="008E1F03">
              <w:trPr>
                <w:trHeight w:val="330"/>
                <w:jc w:val="center"/>
              </w:trPr>
              <w:tc>
                <w:tcPr>
                  <w:tcW w:w="42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1F03" w:rsidRPr="008E1F03" w:rsidRDefault="008E1F03">
                  <w:pPr>
                    <w:jc w:val="center"/>
                    <w:rPr>
                      <w:rFonts w:ascii="Times New Roman" w:hAnsi="Times New Roman"/>
                      <w:color w:val="000000"/>
                      <w:sz w:val="20"/>
                      <w:szCs w:val="20"/>
                    </w:rPr>
                  </w:pPr>
                  <w:proofErr w:type="gramStart"/>
                  <w:r w:rsidRPr="008E1F03">
                    <w:rPr>
                      <w:rFonts w:ascii="Times New Roman" w:hAnsi="Times New Roman"/>
                      <w:sz w:val="20"/>
                      <w:szCs w:val="20"/>
                    </w:rPr>
                    <w:t>29/12/2010</w:t>
                  </w:r>
                  <w:proofErr w:type="gramEnd"/>
                </w:p>
              </w:tc>
              <w:tc>
                <w:tcPr>
                  <w:tcW w:w="428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1F03" w:rsidRPr="008E1F03" w:rsidRDefault="008E1F03">
                  <w:pPr>
                    <w:jc w:val="center"/>
                    <w:rPr>
                      <w:rFonts w:ascii="Times New Roman" w:hAnsi="Times New Roman"/>
                      <w:color w:val="000000"/>
                      <w:sz w:val="20"/>
                      <w:szCs w:val="20"/>
                    </w:rPr>
                  </w:pPr>
                  <w:r w:rsidRPr="008E1F03">
                    <w:rPr>
                      <w:rFonts w:ascii="Times New Roman" w:hAnsi="Times New Roman"/>
                      <w:sz w:val="20"/>
                      <w:szCs w:val="20"/>
                    </w:rPr>
                    <w:t>27800</w:t>
                  </w:r>
                </w:p>
              </w:tc>
            </w:tr>
            <w:tr w:rsidR="008E1F03" w:rsidRPr="008E1F03">
              <w:trPr>
                <w:jc w:val="center"/>
              </w:trPr>
              <w:tc>
                <w:tcPr>
                  <w:tcW w:w="4230" w:type="dxa"/>
                  <w:tcBorders>
                    <w:top w:val="outset" w:sz="6" w:space="0" w:color="auto"/>
                    <w:left w:val="outset" w:sz="6" w:space="0" w:color="auto"/>
                    <w:bottom w:val="outset" w:sz="6" w:space="0" w:color="auto"/>
                    <w:right w:val="outset" w:sz="6" w:space="0" w:color="auto"/>
                  </w:tcBorders>
                  <w:vAlign w:val="center"/>
                  <w:hideMark/>
                </w:tcPr>
                <w:p w:rsidR="008E1F03" w:rsidRPr="008E1F03" w:rsidRDefault="008E1F03">
                  <w:pPr>
                    <w:rPr>
                      <w:rFonts w:ascii="Times New Roman" w:hAnsi="Times New Roman"/>
                      <w:color w:val="000000"/>
                      <w:sz w:val="20"/>
                      <w:szCs w:val="20"/>
                    </w:rPr>
                  </w:pPr>
                </w:p>
              </w:tc>
              <w:tc>
                <w:tcPr>
                  <w:tcW w:w="144" w:type="dxa"/>
                  <w:tcBorders>
                    <w:top w:val="outset" w:sz="6" w:space="0" w:color="auto"/>
                    <w:left w:val="outset" w:sz="6" w:space="0" w:color="auto"/>
                    <w:bottom w:val="outset" w:sz="6" w:space="0" w:color="auto"/>
                    <w:right w:val="outset" w:sz="6" w:space="0" w:color="auto"/>
                  </w:tcBorders>
                  <w:vAlign w:val="center"/>
                  <w:hideMark/>
                </w:tcPr>
                <w:p w:rsidR="008E1F03" w:rsidRPr="008E1F03" w:rsidRDefault="008E1F03">
                  <w:pPr>
                    <w:rPr>
                      <w:rFonts w:ascii="Times New Roman" w:hAnsi="Times New Roman"/>
                      <w:color w:val="000000"/>
                      <w:sz w:val="20"/>
                      <w:szCs w:val="20"/>
                    </w:rPr>
                  </w:pPr>
                </w:p>
              </w:tc>
              <w:tc>
                <w:tcPr>
                  <w:tcW w:w="4245" w:type="dxa"/>
                  <w:tcBorders>
                    <w:top w:val="outset" w:sz="6" w:space="0" w:color="auto"/>
                    <w:left w:val="outset" w:sz="6" w:space="0" w:color="auto"/>
                    <w:bottom w:val="outset" w:sz="6" w:space="0" w:color="auto"/>
                    <w:right w:val="outset" w:sz="6" w:space="0" w:color="auto"/>
                  </w:tcBorders>
                  <w:vAlign w:val="center"/>
                  <w:hideMark/>
                </w:tcPr>
                <w:p w:rsidR="008E1F03" w:rsidRPr="008E1F03" w:rsidRDefault="008E1F03">
                  <w:pPr>
                    <w:rPr>
                      <w:rFonts w:ascii="Times New Roman" w:hAnsi="Times New Roman"/>
                      <w:color w:val="000000"/>
                      <w:sz w:val="20"/>
                      <w:szCs w:val="20"/>
                    </w:rPr>
                  </w:pPr>
                </w:p>
              </w:tc>
            </w:tr>
          </w:tbl>
          <w:p w:rsidR="008E1F03" w:rsidRPr="008E1F03" w:rsidRDefault="008E1F03" w:rsidP="008E1F03">
            <w:pPr>
              <w:jc w:val="center"/>
              <w:rPr>
                <w:rFonts w:ascii="Times New Roman" w:hAnsi="Times New Roman"/>
                <w:vanish/>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1"/>
              <w:gridCol w:w="222"/>
              <w:gridCol w:w="4142"/>
            </w:tblGrid>
            <w:tr w:rsidR="008E1F03" w:rsidRPr="008E1F03">
              <w:trPr>
                <w:jc w:val="center"/>
              </w:trPr>
              <w:tc>
                <w:tcPr>
                  <w:tcW w:w="9213" w:type="dxa"/>
                  <w:gridSpan w:val="3"/>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sz w:val="20"/>
                      <w:szCs w:val="20"/>
                    </w:rPr>
                  </w:pPr>
                  <w:proofErr w:type="gramStart"/>
                  <w:r w:rsidRPr="008E1F03">
                    <w:rPr>
                      <w:rFonts w:ascii="Times New Roman" w:hAnsi="Times New Roman"/>
                      <w:b/>
                      <w:sz w:val="20"/>
                      <w:szCs w:val="20"/>
                    </w:rPr>
                    <w:t>12/1/2009</w:t>
                  </w:r>
                  <w:proofErr w:type="gramEnd"/>
                  <w:r w:rsidRPr="008E1F03">
                    <w:rPr>
                      <w:rFonts w:ascii="Times New Roman" w:hAnsi="Times New Roman"/>
                      <w:b/>
                      <w:sz w:val="20"/>
                      <w:szCs w:val="20"/>
                    </w:rPr>
                    <w:t xml:space="preserve"> tarihli ve 2009/14593 Sayılı</w:t>
                  </w:r>
                  <w:r w:rsidRPr="008E1F03">
                    <w:rPr>
                      <w:rFonts w:ascii="Times New Roman" w:hAnsi="Times New Roman"/>
                      <w:sz w:val="20"/>
                      <w:szCs w:val="20"/>
                    </w:rPr>
                    <w:t xml:space="preserve"> </w:t>
                  </w:r>
                  <w:r w:rsidRPr="008E1F03">
                    <w:rPr>
                      <w:rFonts w:ascii="Times New Roman" w:hAnsi="Times New Roman"/>
                      <w:b/>
                      <w:sz w:val="20"/>
                      <w:szCs w:val="20"/>
                    </w:rPr>
                    <w:t xml:space="preserve">Bakanlar Kurulu Kararının Yayımlandığı </w:t>
                  </w:r>
                </w:p>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Resmî Gazetenin</w:t>
                  </w:r>
                </w:p>
              </w:tc>
            </w:tr>
            <w:tr w:rsidR="008E1F03" w:rsidRPr="008E1F03">
              <w:trPr>
                <w:jc w:val="center"/>
              </w:trPr>
              <w:tc>
                <w:tcPr>
                  <w:tcW w:w="4606" w:type="dxa"/>
                  <w:gridSpan w:val="2"/>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Tarihi</w:t>
                  </w:r>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Sayısı</w:t>
                  </w:r>
                </w:p>
              </w:tc>
            </w:tr>
            <w:tr w:rsidR="008E1F03" w:rsidRPr="008E1F03">
              <w:trPr>
                <w:jc w:val="center"/>
              </w:trPr>
              <w:tc>
                <w:tcPr>
                  <w:tcW w:w="4606" w:type="dxa"/>
                  <w:gridSpan w:val="2"/>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sz w:val="20"/>
                      <w:szCs w:val="20"/>
                    </w:rPr>
                    <w:t>3/2/2009</w:t>
                  </w:r>
                  <w:proofErr w:type="gramEnd"/>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sz w:val="20"/>
                      <w:szCs w:val="20"/>
                    </w:rPr>
                    <w:t>27130</w:t>
                  </w:r>
                </w:p>
              </w:tc>
            </w:tr>
            <w:tr w:rsidR="008E1F03" w:rsidRPr="008E1F03">
              <w:trPr>
                <w:trHeight w:val="315"/>
                <w:jc w:val="center"/>
              </w:trPr>
              <w:tc>
                <w:tcPr>
                  <w:tcW w:w="9213"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E1F03" w:rsidRPr="008E1F03" w:rsidRDefault="008E1F03">
                  <w:pPr>
                    <w:jc w:val="center"/>
                    <w:rPr>
                      <w:rFonts w:ascii="Times New Roman" w:hAnsi="Times New Roman"/>
                      <w:color w:val="000000"/>
                      <w:sz w:val="20"/>
                      <w:szCs w:val="20"/>
                    </w:rPr>
                  </w:pPr>
                  <w:proofErr w:type="gramStart"/>
                  <w:r w:rsidRPr="008E1F03">
                    <w:rPr>
                      <w:rFonts w:ascii="Times New Roman" w:hAnsi="Times New Roman"/>
                      <w:b/>
                      <w:sz w:val="20"/>
                      <w:szCs w:val="20"/>
                    </w:rPr>
                    <w:lastRenderedPageBreak/>
                    <w:t>12/1/2009</w:t>
                  </w:r>
                  <w:proofErr w:type="gramEnd"/>
                  <w:r w:rsidRPr="008E1F03">
                    <w:rPr>
                      <w:rFonts w:ascii="Times New Roman" w:hAnsi="Times New Roman"/>
                      <w:b/>
                      <w:sz w:val="20"/>
                      <w:szCs w:val="20"/>
                    </w:rPr>
                    <w:t xml:space="preserve"> tarihli ve 2009/14593 Sayılı Bakanlar Kurulu Kararında Değişiklik Yapan Düzenlemenin Yayımlandığı Resmî Gazetenin</w:t>
                  </w:r>
                </w:p>
              </w:tc>
            </w:tr>
            <w:tr w:rsidR="008E1F03" w:rsidRPr="008E1F03">
              <w:trPr>
                <w:trHeight w:val="330"/>
                <w:jc w:val="center"/>
              </w:trPr>
              <w:tc>
                <w:tcPr>
                  <w:tcW w:w="4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1F03" w:rsidRPr="008E1F03" w:rsidRDefault="008E1F03">
                  <w:pPr>
                    <w:jc w:val="center"/>
                    <w:rPr>
                      <w:rFonts w:ascii="Times New Roman" w:hAnsi="Times New Roman"/>
                      <w:color w:val="000000"/>
                      <w:sz w:val="20"/>
                      <w:szCs w:val="20"/>
                    </w:rPr>
                  </w:pPr>
                  <w:proofErr w:type="gramStart"/>
                  <w:r w:rsidRPr="008E1F03">
                    <w:rPr>
                      <w:rFonts w:ascii="Times New Roman" w:hAnsi="Times New Roman"/>
                      <w:sz w:val="20"/>
                      <w:szCs w:val="20"/>
                    </w:rPr>
                    <w:t>29/12/2010</w:t>
                  </w:r>
                  <w:proofErr w:type="gramEnd"/>
                </w:p>
              </w:tc>
              <w:tc>
                <w:tcPr>
                  <w:tcW w:w="465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1F03" w:rsidRPr="008E1F03" w:rsidRDefault="008E1F03">
                  <w:pPr>
                    <w:jc w:val="center"/>
                    <w:rPr>
                      <w:rFonts w:ascii="Times New Roman" w:hAnsi="Times New Roman"/>
                      <w:color w:val="000000"/>
                      <w:sz w:val="20"/>
                      <w:szCs w:val="20"/>
                    </w:rPr>
                  </w:pPr>
                  <w:r w:rsidRPr="008E1F03">
                    <w:rPr>
                      <w:rFonts w:ascii="Times New Roman" w:hAnsi="Times New Roman"/>
                      <w:sz w:val="20"/>
                      <w:szCs w:val="20"/>
                    </w:rPr>
                    <w:t>27800</w:t>
                  </w:r>
                </w:p>
              </w:tc>
            </w:tr>
            <w:tr w:rsidR="008E1F03" w:rsidRPr="008E1F03">
              <w:trPr>
                <w:jc w:val="center"/>
              </w:trPr>
              <w:tc>
                <w:tcPr>
                  <w:tcW w:w="4230" w:type="dxa"/>
                  <w:tcBorders>
                    <w:top w:val="outset" w:sz="6" w:space="0" w:color="auto"/>
                    <w:left w:val="outset" w:sz="6" w:space="0" w:color="auto"/>
                    <w:bottom w:val="outset" w:sz="6" w:space="0" w:color="auto"/>
                    <w:right w:val="outset" w:sz="6" w:space="0" w:color="auto"/>
                  </w:tcBorders>
                  <w:vAlign w:val="center"/>
                  <w:hideMark/>
                </w:tcPr>
                <w:p w:rsidR="008E1F03" w:rsidRPr="008E1F03" w:rsidRDefault="008E1F03">
                  <w:pPr>
                    <w:rPr>
                      <w:rFonts w:ascii="Times New Roman" w:hAnsi="Times New Roman"/>
                      <w:color w:val="000000"/>
                      <w:sz w:val="20"/>
                      <w:szCs w:val="20"/>
                    </w:rPr>
                  </w:pPr>
                </w:p>
              </w:tc>
              <w:tc>
                <w:tcPr>
                  <w:tcW w:w="144" w:type="dxa"/>
                  <w:tcBorders>
                    <w:top w:val="outset" w:sz="6" w:space="0" w:color="auto"/>
                    <w:left w:val="outset" w:sz="6" w:space="0" w:color="auto"/>
                    <w:bottom w:val="outset" w:sz="6" w:space="0" w:color="auto"/>
                    <w:right w:val="outset" w:sz="6" w:space="0" w:color="auto"/>
                  </w:tcBorders>
                  <w:vAlign w:val="center"/>
                  <w:hideMark/>
                </w:tcPr>
                <w:p w:rsidR="008E1F03" w:rsidRPr="008E1F03" w:rsidRDefault="008E1F03">
                  <w:pPr>
                    <w:rPr>
                      <w:rFonts w:ascii="Times New Roman" w:hAnsi="Times New Roman"/>
                      <w:color w:val="000000"/>
                      <w:sz w:val="20"/>
                      <w:szCs w:val="20"/>
                    </w:rPr>
                  </w:pPr>
                </w:p>
              </w:tc>
              <w:tc>
                <w:tcPr>
                  <w:tcW w:w="4245" w:type="dxa"/>
                  <w:tcBorders>
                    <w:top w:val="outset" w:sz="6" w:space="0" w:color="auto"/>
                    <w:left w:val="outset" w:sz="6" w:space="0" w:color="auto"/>
                    <w:bottom w:val="outset" w:sz="6" w:space="0" w:color="auto"/>
                    <w:right w:val="outset" w:sz="6" w:space="0" w:color="auto"/>
                  </w:tcBorders>
                  <w:vAlign w:val="center"/>
                  <w:hideMark/>
                </w:tcPr>
                <w:p w:rsidR="008E1F03" w:rsidRPr="008E1F03" w:rsidRDefault="008E1F03">
                  <w:pPr>
                    <w:rPr>
                      <w:rFonts w:ascii="Times New Roman" w:hAnsi="Times New Roman"/>
                      <w:color w:val="000000"/>
                      <w:sz w:val="20"/>
                      <w:szCs w:val="20"/>
                    </w:rPr>
                  </w:pPr>
                </w:p>
              </w:tc>
            </w:tr>
          </w:tbl>
          <w:p w:rsidR="008E1F03" w:rsidRPr="008E1F03" w:rsidRDefault="008E1F03" w:rsidP="008E1F03">
            <w:pPr>
              <w:jc w:val="center"/>
              <w:rPr>
                <w:rFonts w:ascii="Times New Roman" w:hAnsi="Times New Roman"/>
                <w:vanish/>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1"/>
              <w:gridCol w:w="222"/>
              <w:gridCol w:w="4142"/>
            </w:tblGrid>
            <w:tr w:rsidR="008E1F03" w:rsidRPr="008E1F03">
              <w:trPr>
                <w:jc w:val="center"/>
              </w:trPr>
              <w:tc>
                <w:tcPr>
                  <w:tcW w:w="9213" w:type="dxa"/>
                  <w:gridSpan w:val="3"/>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sz w:val="20"/>
                      <w:szCs w:val="20"/>
                    </w:rPr>
                  </w:pPr>
                  <w:proofErr w:type="gramStart"/>
                  <w:r w:rsidRPr="008E1F03">
                    <w:rPr>
                      <w:rFonts w:ascii="Times New Roman" w:hAnsi="Times New Roman"/>
                      <w:b/>
                      <w:sz w:val="20"/>
                      <w:szCs w:val="20"/>
                    </w:rPr>
                    <w:t>12/1/2009</w:t>
                  </w:r>
                  <w:proofErr w:type="gramEnd"/>
                  <w:r w:rsidRPr="008E1F03">
                    <w:rPr>
                      <w:rFonts w:ascii="Times New Roman" w:hAnsi="Times New Roman"/>
                      <w:b/>
                      <w:sz w:val="20"/>
                      <w:szCs w:val="20"/>
                    </w:rPr>
                    <w:t xml:space="preserve"> tarihli ve 2009/14594 Sayılı Bakanlar Kurulu Kararının Yayımlandığı </w:t>
                  </w:r>
                </w:p>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Resmî Gazetenin</w:t>
                  </w:r>
                </w:p>
              </w:tc>
            </w:tr>
            <w:tr w:rsidR="008E1F03" w:rsidRPr="008E1F03">
              <w:trPr>
                <w:jc w:val="center"/>
              </w:trPr>
              <w:tc>
                <w:tcPr>
                  <w:tcW w:w="4606" w:type="dxa"/>
                  <w:gridSpan w:val="2"/>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Tarihi</w:t>
                  </w:r>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Sayısı</w:t>
                  </w:r>
                </w:p>
              </w:tc>
            </w:tr>
            <w:tr w:rsidR="008E1F03" w:rsidRPr="008E1F03">
              <w:trPr>
                <w:jc w:val="center"/>
              </w:trPr>
              <w:tc>
                <w:tcPr>
                  <w:tcW w:w="4606" w:type="dxa"/>
                  <w:gridSpan w:val="2"/>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sz w:val="20"/>
                      <w:szCs w:val="20"/>
                    </w:rPr>
                    <w:t>3/2/2009</w:t>
                  </w:r>
                  <w:proofErr w:type="gramEnd"/>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sz w:val="20"/>
                      <w:szCs w:val="20"/>
                    </w:rPr>
                    <w:t>27130</w:t>
                  </w:r>
                </w:p>
              </w:tc>
            </w:tr>
            <w:tr w:rsidR="008E1F03" w:rsidRPr="008E1F03">
              <w:trPr>
                <w:trHeight w:val="315"/>
                <w:jc w:val="center"/>
              </w:trPr>
              <w:tc>
                <w:tcPr>
                  <w:tcW w:w="9213"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E1F03" w:rsidRPr="008E1F03" w:rsidRDefault="008E1F03">
                  <w:pPr>
                    <w:jc w:val="center"/>
                    <w:rPr>
                      <w:rFonts w:ascii="Times New Roman" w:hAnsi="Times New Roman"/>
                      <w:color w:val="000000"/>
                      <w:sz w:val="20"/>
                      <w:szCs w:val="20"/>
                    </w:rPr>
                  </w:pPr>
                  <w:proofErr w:type="gramStart"/>
                  <w:r w:rsidRPr="008E1F03">
                    <w:rPr>
                      <w:rFonts w:ascii="Times New Roman" w:hAnsi="Times New Roman"/>
                      <w:b/>
                      <w:sz w:val="20"/>
                      <w:szCs w:val="20"/>
                    </w:rPr>
                    <w:t>12/1/2009</w:t>
                  </w:r>
                  <w:proofErr w:type="gramEnd"/>
                  <w:r w:rsidRPr="008E1F03">
                    <w:rPr>
                      <w:rFonts w:ascii="Times New Roman" w:hAnsi="Times New Roman"/>
                      <w:b/>
                      <w:sz w:val="20"/>
                      <w:szCs w:val="20"/>
                    </w:rPr>
                    <w:t xml:space="preserve"> tarihli ve 2009/14594 Sayılı Bakanlar Kurulu Kararında Değişiklik Yapan Düzenlemenin Yayımlandığı Resmî Gazetenin</w:t>
                  </w:r>
                </w:p>
              </w:tc>
            </w:tr>
            <w:tr w:rsidR="008E1F03" w:rsidRPr="008E1F03">
              <w:trPr>
                <w:trHeight w:val="330"/>
                <w:jc w:val="center"/>
              </w:trPr>
              <w:tc>
                <w:tcPr>
                  <w:tcW w:w="4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1F03" w:rsidRPr="008E1F03" w:rsidRDefault="008E1F03">
                  <w:pPr>
                    <w:jc w:val="center"/>
                    <w:rPr>
                      <w:rFonts w:ascii="Times New Roman" w:hAnsi="Times New Roman"/>
                      <w:color w:val="000000"/>
                      <w:sz w:val="20"/>
                      <w:szCs w:val="20"/>
                    </w:rPr>
                  </w:pPr>
                  <w:proofErr w:type="gramStart"/>
                  <w:r w:rsidRPr="008E1F03">
                    <w:rPr>
                      <w:rFonts w:ascii="Times New Roman" w:hAnsi="Times New Roman"/>
                      <w:sz w:val="20"/>
                      <w:szCs w:val="20"/>
                    </w:rPr>
                    <w:t>29/12/2010</w:t>
                  </w:r>
                  <w:proofErr w:type="gramEnd"/>
                </w:p>
              </w:tc>
              <w:tc>
                <w:tcPr>
                  <w:tcW w:w="465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1F03" w:rsidRPr="008E1F03" w:rsidRDefault="008E1F03">
                  <w:pPr>
                    <w:jc w:val="center"/>
                    <w:rPr>
                      <w:rFonts w:ascii="Times New Roman" w:hAnsi="Times New Roman"/>
                      <w:color w:val="000000"/>
                      <w:sz w:val="20"/>
                      <w:szCs w:val="20"/>
                    </w:rPr>
                  </w:pPr>
                  <w:r w:rsidRPr="008E1F03">
                    <w:rPr>
                      <w:rFonts w:ascii="Times New Roman" w:hAnsi="Times New Roman"/>
                      <w:sz w:val="20"/>
                      <w:szCs w:val="20"/>
                    </w:rPr>
                    <w:t>27800</w:t>
                  </w:r>
                </w:p>
              </w:tc>
            </w:tr>
            <w:tr w:rsidR="008E1F03" w:rsidRPr="008E1F03">
              <w:trPr>
                <w:jc w:val="center"/>
              </w:trPr>
              <w:tc>
                <w:tcPr>
                  <w:tcW w:w="4230" w:type="dxa"/>
                  <w:tcBorders>
                    <w:top w:val="outset" w:sz="6" w:space="0" w:color="auto"/>
                    <w:left w:val="outset" w:sz="6" w:space="0" w:color="auto"/>
                    <w:bottom w:val="outset" w:sz="6" w:space="0" w:color="auto"/>
                    <w:right w:val="outset" w:sz="6" w:space="0" w:color="auto"/>
                  </w:tcBorders>
                  <w:vAlign w:val="center"/>
                  <w:hideMark/>
                </w:tcPr>
                <w:p w:rsidR="008E1F03" w:rsidRPr="008E1F03" w:rsidRDefault="008E1F03">
                  <w:pPr>
                    <w:rPr>
                      <w:rFonts w:ascii="Times New Roman" w:hAnsi="Times New Roman"/>
                      <w:color w:val="000000"/>
                      <w:sz w:val="20"/>
                      <w:szCs w:val="20"/>
                    </w:rPr>
                  </w:pPr>
                </w:p>
              </w:tc>
              <w:tc>
                <w:tcPr>
                  <w:tcW w:w="144" w:type="dxa"/>
                  <w:tcBorders>
                    <w:top w:val="outset" w:sz="6" w:space="0" w:color="auto"/>
                    <w:left w:val="outset" w:sz="6" w:space="0" w:color="auto"/>
                    <w:bottom w:val="outset" w:sz="6" w:space="0" w:color="auto"/>
                    <w:right w:val="outset" w:sz="6" w:space="0" w:color="auto"/>
                  </w:tcBorders>
                  <w:vAlign w:val="center"/>
                  <w:hideMark/>
                </w:tcPr>
                <w:p w:rsidR="008E1F03" w:rsidRPr="008E1F03" w:rsidRDefault="008E1F03">
                  <w:pPr>
                    <w:rPr>
                      <w:rFonts w:ascii="Times New Roman" w:hAnsi="Times New Roman"/>
                      <w:color w:val="000000"/>
                      <w:sz w:val="20"/>
                      <w:szCs w:val="20"/>
                    </w:rPr>
                  </w:pPr>
                </w:p>
              </w:tc>
              <w:tc>
                <w:tcPr>
                  <w:tcW w:w="4245" w:type="dxa"/>
                  <w:tcBorders>
                    <w:top w:val="outset" w:sz="6" w:space="0" w:color="auto"/>
                    <w:left w:val="outset" w:sz="6" w:space="0" w:color="auto"/>
                    <w:bottom w:val="outset" w:sz="6" w:space="0" w:color="auto"/>
                    <w:right w:val="outset" w:sz="6" w:space="0" w:color="auto"/>
                  </w:tcBorders>
                  <w:vAlign w:val="center"/>
                  <w:hideMark/>
                </w:tcPr>
                <w:p w:rsidR="008E1F03" w:rsidRPr="008E1F03" w:rsidRDefault="008E1F03">
                  <w:pPr>
                    <w:rPr>
                      <w:rFonts w:ascii="Times New Roman" w:hAnsi="Times New Roman"/>
                      <w:color w:val="000000"/>
                      <w:sz w:val="20"/>
                      <w:szCs w:val="20"/>
                    </w:rPr>
                  </w:pPr>
                </w:p>
              </w:tc>
            </w:tr>
          </w:tbl>
          <w:p w:rsidR="008E1F03" w:rsidRPr="008E1F03" w:rsidRDefault="008E1F03" w:rsidP="008E1F03">
            <w:pPr>
              <w:jc w:val="center"/>
              <w:rPr>
                <w:rFonts w:ascii="Times New Roman" w:hAnsi="Times New Roman"/>
                <w:vanish/>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3671"/>
              <w:gridCol w:w="4213"/>
            </w:tblGrid>
            <w:tr w:rsidR="008E1F03" w:rsidRPr="008E1F03">
              <w:trPr>
                <w:jc w:val="center"/>
              </w:trPr>
              <w:tc>
                <w:tcPr>
                  <w:tcW w:w="9213" w:type="dxa"/>
                  <w:gridSpan w:val="3"/>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sz w:val="20"/>
                      <w:szCs w:val="20"/>
                    </w:rPr>
                  </w:pPr>
                  <w:proofErr w:type="gramStart"/>
                  <w:r w:rsidRPr="008E1F03">
                    <w:rPr>
                      <w:rFonts w:ascii="Times New Roman" w:hAnsi="Times New Roman"/>
                      <w:b/>
                      <w:sz w:val="20"/>
                      <w:szCs w:val="20"/>
                    </w:rPr>
                    <w:t>22/7/2006</w:t>
                  </w:r>
                  <w:proofErr w:type="gramEnd"/>
                  <w:r w:rsidRPr="008E1F03">
                    <w:rPr>
                      <w:rFonts w:ascii="Times New Roman" w:hAnsi="Times New Roman"/>
                      <w:b/>
                      <w:sz w:val="20"/>
                      <w:szCs w:val="20"/>
                    </w:rPr>
                    <w:t xml:space="preserve"> tarihli ve 2006/10731 Sayılı Bakanlar Kurulu Kararının Yayımlandığı </w:t>
                  </w:r>
                </w:p>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Resmî Gazetenin</w:t>
                  </w:r>
                </w:p>
              </w:tc>
            </w:tr>
            <w:tr w:rsidR="008E1F03" w:rsidRPr="008E1F03">
              <w:trPr>
                <w:jc w:val="center"/>
              </w:trPr>
              <w:tc>
                <w:tcPr>
                  <w:tcW w:w="4606" w:type="dxa"/>
                  <w:gridSpan w:val="2"/>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Tarihi</w:t>
                  </w:r>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Sayısı</w:t>
                  </w:r>
                </w:p>
              </w:tc>
            </w:tr>
            <w:tr w:rsidR="008E1F03" w:rsidRPr="008E1F03">
              <w:trPr>
                <w:jc w:val="center"/>
              </w:trPr>
              <w:tc>
                <w:tcPr>
                  <w:tcW w:w="4606" w:type="dxa"/>
                  <w:gridSpan w:val="2"/>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sz w:val="20"/>
                      <w:szCs w:val="20"/>
                    </w:rPr>
                    <w:t>23/7/2006</w:t>
                  </w:r>
                  <w:proofErr w:type="gramEnd"/>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sz w:val="20"/>
                      <w:szCs w:val="20"/>
                    </w:rPr>
                    <w:t>26237</w:t>
                  </w:r>
                </w:p>
              </w:tc>
            </w:tr>
            <w:tr w:rsidR="008E1F03" w:rsidRPr="008E1F03">
              <w:trPr>
                <w:jc w:val="center"/>
              </w:trPr>
              <w:tc>
                <w:tcPr>
                  <w:tcW w:w="9213" w:type="dxa"/>
                  <w:gridSpan w:val="3"/>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b/>
                      <w:sz w:val="20"/>
                      <w:szCs w:val="20"/>
                    </w:rPr>
                    <w:t>22/7/2006</w:t>
                  </w:r>
                  <w:proofErr w:type="gramEnd"/>
                  <w:r w:rsidRPr="008E1F03">
                    <w:rPr>
                      <w:rFonts w:ascii="Times New Roman" w:hAnsi="Times New Roman"/>
                      <w:b/>
                      <w:sz w:val="20"/>
                      <w:szCs w:val="20"/>
                    </w:rPr>
                    <w:t xml:space="preserve"> tarihli ve 2006/10731 Sayılı Bakanlar Kurulu Kararında Değişiklik Yapan Düzenlemelerin Yayımlandığı Resmî Gazetenin</w:t>
                  </w:r>
                </w:p>
              </w:tc>
            </w:tr>
            <w:tr w:rsidR="008E1F03" w:rsidRPr="008E1F03">
              <w:trPr>
                <w:jc w:val="center"/>
              </w:trPr>
              <w:tc>
                <w:tcPr>
                  <w:tcW w:w="648" w:type="dxa"/>
                  <w:tcBorders>
                    <w:top w:val="single" w:sz="4" w:space="0" w:color="auto"/>
                    <w:left w:val="single" w:sz="4" w:space="0" w:color="auto"/>
                    <w:bottom w:val="single" w:sz="4" w:space="0" w:color="auto"/>
                    <w:right w:val="single" w:sz="4" w:space="0" w:color="auto"/>
                  </w:tcBorders>
                  <w:hideMark/>
                </w:tcPr>
                <w:p w:rsidR="008E1F03" w:rsidRPr="008E1F03" w:rsidRDefault="008E1F03">
                  <w:pPr>
                    <w:rPr>
                      <w:rFonts w:ascii="Times New Roman" w:hAnsi="Times New Roman"/>
                      <w:color w:val="000000"/>
                      <w:sz w:val="20"/>
                      <w:szCs w:val="20"/>
                    </w:rPr>
                  </w:pPr>
                </w:p>
              </w:tc>
              <w:tc>
                <w:tcPr>
                  <w:tcW w:w="395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Tarihi</w:t>
                  </w:r>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Sayısı</w:t>
                  </w:r>
                </w:p>
              </w:tc>
            </w:tr>
            <w:tr w:rsidR="008E1F03" w:rsidRPr="008E1F03">
              <w:trPr>
                <w:jc w:val="center"/>
              </w:trPr>
              <w:tc>
                <w:tcPr>
                  <w:tcW w:w="64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1-</w:t>
                  </w:r>
                </w:p>
              </w:tc>
              <w:tc>
                <w:tcPr>
                  <w:tcW w:w="395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sz w:val="20"/>
                      <w:szCs w:val="20"/>
                    </w:rPr>
                    <w:t>13/11/2008</w:t>
                  </w:r>
                  <w:proofErr w:type="gramEnd"/>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sz w:val="20"/>
                      <w:szCs w:val="20"/>
                    </w:rPr>
                    <w:t>27053</w:t>
                  </w:r>
                </w:p>
              </w:tc>
            </w:tr>
            <w:tr w:rsidR="008E1F03" w:rsidRPr="008E1F03">
              <w:trPr>
                <w:jc w:val="center"/>
              </w:trPr>
              <w:tc>
                <w:tcPr>
                  <w:tcW w:w="64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2-</w:t>
                  </w:r>
                </w:p>
              </w:tc>
              <w:tc>
                <w:tcPr>
                  <w:tcW w:w="395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sz w:val="20"/>
                      <w:szCs w:val="20"/>
                    </w:rPr>
                    <w:t>3/2/2009</w:t>
                  </w:r>
                  <w:proofErr w:type="gramEnd"/>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sz w:val="20"/>
                      <w:szCs w:val="20"/>
                    </w:rPr>
                    <w:t>27130</w:t>
                  </w:r>
                </w:p>
              </w:tc>
            </w:tr>
            <w:tr w:rsidR="008E1F03" w:rsidRPr="008E1F03">
              <w:trPr>
                <w:jc w:val="center"/>
              </w:trPr>
              <w:tc>
                <w:tcPr>
                  <w:tcW w:w="64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3-</w:t>
                  </w:r>
                </w:p>
              </w:tc>
              <w:tc>
                <w:tcPr>
                  <w:tcW w:w="395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sz w:val="20"/>
                      <w:szCs w:val="20"/>
                    </w:rPr>
                    <w:t>30/9/2010</w:t>
                  </w:r>
                  <w:proofErr w:type="gramEnd"/>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sz w:val="20"/>
                      <w:szCs w:val="20"/>
                    </w:rPr>
                    <w:t>27715</w:t>
                  </w:r>
                </w:p>
              </w:tc>
            </w:tr>
            <w:tr w:rsidR="008E1F03" w:rsidRPr="008E1F03">
              <w:trPr>
                <w:jc w:val="center"/>
              </w:trPr>
              <w:tc>
                <w:tcPr>
                  <w:tcW w:w="64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4-</w:t>
                  </w:r>
                </w:p>
              </w:tc>
              <w:tc>
                <w:tcPr>
                  <w:tcW w:w="3958" w:type="dxa"/>
                  <w:tcBorders>
                    <w:top w:val="single" w:sz="4" w:space="0" w:color="auto"/>
                    <w:left w:val="single" w:sz="4" w:space="0" w:color="auto"/>
                    <w:bottom w:val="single" w:sz="4" w:space="0" w:color="auto"/>
                    <w:right w:val="single" w:sz="4" w:space="0" w:color="auto"/>
                  </w:tcBorders>
                  <w:vAlign w:val="center"/>
                  <w:hideMark/>
                </w:tcPr>
                <w:p w:rsidR="008E1F03" w:rsidRPr="008E1F03" w:rsidRDefault="008E1F03">
                  <w:pPr>
                    <w:jc w:val="center"/>
                    <w:rPr>
                      <w:rFonts w:ascii="Times New Roman" w:hAnsi="Times New Roman"/>
                      <w:color w:val="000000"/>
                      <w:sz w:val="20"/>
                      <w:szCs w:val="20"/>
                    </w:rPr>
                  </w:pPr>
                  <w:proofErr w:type="gramStart"/>
                  <w:r w:rsidRPr="008E1F03">
                    <w:rPr>
                      <w:rFonts w:ascii="Times New Roman" w:hAnsi="Times New Roman"/>
                      <w:sz w:val="20"/>
                      <w:szCs w:val="20"/>
                    </w:rPr>
                    <w:t>29/12/2010</w:t>
                  </w:r>
                  <w:proofErr w:type="gramEnd"/>
                </w:p>
              </w:tc>
              <w:tc>
                <w:tcPr>
                  <w:tcW w:w="4607" w:type="dxa"/>
                  <w:tcBorders>
                    <w:top w:val="single" w:sz="4" w:space="0" w:color="auto"/>
                    <w:left w:val="single" w:sz="4" w:space="0" w:color="auto"/>
                    <w:bottom w:val="single" w:sz="4" w:space="0" w:color="auto"/>
                    <w:right w:val="single" w:sz="4" w:space="0" w:color="auto"/>
                  </w:tcBorders>
                  <w:vAlign w:val="center"/>
                  <w:hideMark/>
                </w:tcPr>
                <w:p w:rsidR="008E1F03" w:rsidRPr="008E1F03" w:rsidRDefault="008E1F03">
                  <w:pPr>
                    <w:jc w:val="center"/>
                    <w:rPr>
                      <w:rFonts w:ascii="Times New Roman" w:hAnsi="Times New Roman"/>
                      <w:color w:val="000000"/>
                      <w:sz w:val="20"/>
                      <w:szCs w:val="20"/>
                    </w:rPr>
                  </w:pPr>
                  <w:r w:rsidRPr="008E1F03">
                    <w:rPr>
                      <w:rFonts w:ascii="Times New Roman" w:hAnsi="Times New Roman"/>
                      <w:sz w:val="20"/>
                      <w:szCs w:val="20"/>
                    </w:rPr>
                    <w:t>27800</w:t>
                  </w:r>
                </w:p>
              </w:tc>
            </w:tr>
          </w:tbl>
          <w:p w:rsidR="008E1F03" w:rsidRPr="008E1F03" w:rsidRDefault="008E1F03" w:rsidP="008E1F03">
            <w:pPr>
              <w:jc w:val="center"/>
              <w:rPr>
                <w:rFonts w:ascii="Times New Roman" w:hAnsi="Times New Roman"/>
                <w:vanish/>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
              <w:gridCol w:w="3671"/>
              <w:gridCol w:w="4213"/>
            </w:tblGrid>
            <w:tr w:rsidR="008E1F03" w:rsidRPr="008E1F03">
              <w:trPr>
                <w:jc w:val="center"/>
              </w:trPr>
              <w:tc>
                <w:tcPr>
                  <w:tcW w:w="9213" w:type="dxa"/>
                  <w:gridSpan w:val="3"/>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sz w:val="20"/>
                      <w:szCs w:val="20"/>
                    </w:rPr>
                  </w:pPr>
                  <w:proofErr w:type="gramStart"/>
                  <w:r w:rsidRPr="008E1F03">
                    <w:rPr>
                      <w:rFonts w:ascii="Times New Roman" w:hAnsi="Times New Roman"/>
                      <w:b/>
                      <w:sz w:val="20"/>
                      <w:szCs w:val="20"/>
                    </w:rPr>
                    <w:t>28/8/1998</w:t>
                  </w:r>
                  <w:proofErr w:type="gramEnd"/>
                  <w:r w:rsidRPr="008E1F03">
                    <w:rPr>
                      <w:rFonts w:ascii="Times New Roman" w:hAnsi="Times New Roman"/>
                      <w:b/>
                      <w:sz w:val="20"/>
                      <w:szCs w:val="20"/>
                    </w:rPr>
                    <w:t xml:space="preserve"> tarihli ve 98/11591 sayılı</w:t>
                  </w:r>
                  <w:r w:rsidRPr="008E1F03">
                    <w:rPr>
                      <w:rFonts w:ascii="Times New Roman" w:hAnsi="Times New Roman"/>
                      <w:sz w:val="20"/>
                      <w:szCs w:val="20"/>
                    </w:rPr>
                    <w:t xml:space="preserve"> </w:t>
                  </w:r>
                  <w:r w:rsidRPr="008E1F03">
                    <w:rPr>
                      <w:rFonts w:ascii="Times New Roman" w:hAnsi="Times New Roman"/>
                      <w:b/>
                      <w:sz w:val="20"/>
                      <w:szCs w:val="20"/>
                    </w:rPr>
                    <w:t xml:space="preserve">Bakanlar Kurulu Kararının Yayımlandığı </w:t>
                  </w:r>
                </w:p>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Resmî Gazetenin</w:t>
                  </w:r>
                </w:p>
              </w:tc>
            </w:tr>
            <w:tr w:rsidR="008E1F03" w:rsidRPr="008E1F03">
              <w:trPr>
                <w:jc w:val="center"/>
              </w:trPr>
              <w:tc>
                <w:tcPr>
                  <w:tcW w:w="4606" w:type="dxa"/>
                  <w:gridSpan w:val="2"/>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Tarihi</w:t>
                  </w:r>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Sayısı</w:t>
                  </w:r>
                </w:p>
              </w:tc>
            </w:tr>
            <w:tr w:rsidR="008E1F03" w:rsidRPr="008E1F03">
              <w:trPr>
                <w:jc w:val="center"/>
              </w:trPr>
              <w:tc>
                <w:tcPr>
                  <w:tcW w:w="4606" w:type="dxa"/>
                  <w:gridSpan w:val="2"/>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sz w:val="20"/>
                      <w:szCs w:val="20"/>
                    </w:rPr>
                    <w:t>1/9/1998</w:t>
                  </w:r>
                  <w:proofErr w:type="gramEnd"/>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sz w:val="20"/>
                      <w:szCs w:val="20"/>
                    </w:rPr>
                    <w:t>23450</w:t>
                  </w:r>
                </w:p>
              </w:tc>
            </w:tr>
            <w:tr w:rsidR="008E1F03" w:rsidRPr="008E1F03">
              <w:trPr>
                <w:jc w:val="center"/>
              </w:trPr>
              <w:tc>
                <w:tcPr>
                  <w:tcW w:w="9213" w:type="dxa"/>
                  <w:gridSpan w:val="3"/>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b/>
                      <w:sz w:val="20"/>
                      <w:szCs w:val="20"/>
                    </w:rPr>
                    <w:t>28/8/1998</w:t>
                  </w:r>
                  <w:proofErr w:type="gramEnd"/>
                  <w:r w:rsidRPr="008E1F03">
                    <w:rPr>
                      <w:rFonts w:ascii="Times New Roman" w:hAnsi="Times New Roman"/>
                      <w:b/>
                      <w:sz w:val="20"/>
                      <w:szCs w:val="20"/>
                    </w:rPr>
                    <w:t xml:space="preserve"> tarihli ve 98/11591 sayılı</w:t>
                  </w:r>
                  <w:r w:rsidRPr="008E1F03">
                    <w:rPr>
                      <w:rFonts w:ascii="Times New Roman" w:hAnsi="Times New Roman"/>
                      <w:sz w:val="20"/>
                      <w:szCs w:val="20"/>
                    </w:rPr>
                    <w:t xml:space="preserve"> </w:t>
                  </w:r>
                  <w:r w:rsidRPr="008E1F03">
                    <w:rPr>
                      <w:rFonts w:ascii="Times New Roman" w:hAnsi="Times New Roman"/>
                      <w:b/>
                      <w:sz w:val="20"/>
                      <w:szCs w:val="20"/>
                    </w:rPr>
                    <w:t>Bakanlar Kurulu Kararında Değişiklik Yapan Düzenlemelerin Yayımlandığı Resmî Gazetenin</w:t>
                  </w:r>
                </w:p>
              </w:tc>
            </w:tr>
            <w:tr w:rsidR="008E1F03" w:rsidRPr="008E1F03">
              <w:trPr>
                <w:jc w:val="center"/>
              </w:trPr>
              <w:tc>
                <w:tcPr>
                  <w:tcW w:w="648" w:type="dxa"/>
                  <w:tcBorders>
                    <w:top w:val="single" w:sz="4" w:space="0" w:color="auto"/>
                    <w:left w:val="single" w:sz="4" w:space="0" w:color="auto"/>
                    <w:bottom w:val="single" w:sz="4" w:space="0" w:color="auto"/>
                    <w:right w:val="single" w:sz="4" w:space="0" w:color="auto"/>
                  </w:tcBorders>
                  <w:hideMark/>
                </w:tcPr>
                <w:p w:rsidR="008E1F03" w:rsidRPr="008E1F03" w:rsidRDefault="008E1F03">
                  <w:pPr>
                    <w:rPr>
                      <w:rFonts w:ascii="Times New Roman" w:hAnsi="Times New Roman"/>
                      <w:color w:val="000000"/>
                      <w:sz w:val="20"/>
                      <w:szCs w:val="20"/>
                    </w:rPr>
                  </w:pPr>
                </w:p>
              </w:tc>
              <w:tc>
                <w:tcPr>
                  <w:tcW w:w="395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Tarihi</w:t>
                  </w:r>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Sayısı</w:t>
                  </w:r>
                </w:p>
              </w:tc>
            </w:tr>
            <w:tr w:rsidR="008E1F03" w:rsidRPr="008E1F03">
              <w:trPr>
                <w:jc w:val="center"/>
              </w:trPr>
              <w:tc>
                <w:tcPr>
                  <w:tcW w:w="64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1-</w:t>
                  </w:r>
                </w:p>
              </w:tc>
              <w:tc>
                <w:tcPr>
                  <w:tcW w:w="395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sz w:val="20"/>
                      <w:szCs w:val="20"/>
                    </w:rPr>
                    <w:t>15/10/1998</w:t>
                  </w:r>
                  <w:proofErr w:type="gramEnd"/>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sz w:val="20"/>
                      <w:szCs w:val="20"/>
                    </w:rPr>
                    <w:t>23494</w:t>
                  </w:r>
                </w:p>
              </w:tc>
            </w:tr>
            <w:tr w:rsidR="008E1F03" w:rsidRPr="008E1F03">
              <w:trPr>
                <w:jc w:val="center"/>
              </w:trPr>
              <w:tc>
                <w:tcPr>
                  <w:tcW w:w="64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2-</w:t>
                  </w:r>
                </w:p>
              </w:tc>
              <w:tc>
                <w:tcPr>
                  <w:tcW w:w="395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sz w:val="20"/>
                      <w:szCs w:val="20"/>
                    </w:rPr>
                    <w:t>30/7/2002</w:t>
                  </w:r>
                  <w:proofErr w:type="gramEnd"/>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sz w:val="20"/>
                      <w:szCs w:val="20"/>
                    </w:rPr>
                    <w:t>24831</w:t>
                  </w:r>
                </w:p>
              </w:tc>
            </w:tr>
            <w:tr w:rsidR="008E1F03" w:rsidRPr="008E1F03">
              <w:trPr>
                <w:jc w:val="center"/>
              </w:trPr>
              <w:tc>
                <w:tcPr>
                  <w:tcW w:w="64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3-</w:t>
                  </w:r>
                </w:p>
              </w:tc>
              <w:tc>
                <w:tcPr>
                  <w:tcW w:w="395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sz w:val="20"/>
                      <w:szCs w:val="20"/>
                    </w:rPr>
                    <w:t>15/4/2008</w:t>
                  </w:r>
                  <w:proofErr w:type="gramEnd"/>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sz w:val="20"/>
                      <w:szCs w:val="20"/>
                    </w:rPr>
                    <w:t>26848</w:t>
                  </w:r>
                </w:p>
              </w:tc>
            </w:tr>
            <w:tr w:rsidR="008E1F03" w:rsidRPr="008E1F03">
              <w:trPr>
                <w:jc w:val="center"/>
              </w:trPr>
              <w:tc>
                <w:tcPr>
                  <w:tcW w:w="64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lastRenderedPageBreak/>
                    <w:t>4-</w:t>
                  </w:r>
                </w:p>
              </w:tc>
              <w:tc>
                <w:tcPr>
                  <w:tcW w:w="395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proofErr w:type="gramStart"/>
                  <w:r w:rsidRPr="008E1F03">
                    <w:rPr>
                      <w:rFonts w:ascii="Times New Roman" w:hAnsi="Times New Roman"/>
                      <w:sz w:val="20"/>
                      <w:szCs w:val="20"/>
                    </w:rPr>
                    <w:t>5/9/2009</w:t>
                  </w:r>
                  <w:proofErr w:type="gramEnd"/>
                </w:p>
              </w:tc>
              <w:tc>
                <w:tcPr>
                  <w:tcW w:w="4607"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sz w:val="20"/>
                      <w:szCs w:val="20"/>
                    </w:rPr>
                    <w:t>27340</w:t>
                  </w:r>
                </w:p>
              </w:tc>
            </w:tr>
            <w:tr w:rsidR="008E1F03" w:rsidRPr="008E1F03">
              <w:trPr>
                <w:jc w:val="center"/>
              </w:trPr>
              <w:tc>
                <w:tcPr>
                  <w:tcW w:w="648" w:type="dxa"/>
                  <w:tcBorders>
                    <w:top w:val="single" w:sz="4" w:space="0" w:color="auto"/>
                    <w:left w:val="single" w:sz="4" w:space="0" w:color="auto"/>
                    <w:bottom w:val="single" w:sz="4" w:space="0" w:color="auto"/>
                    <w:right w:val="single" w:sz="4" w:space="0" w:color="auto"/>
                  </w:tcBorders>
                  <w:hideMark/>
                </w:tcPr>
                <w:p w:rsidR="008E1F03" w:rsidRPr="008E1F03" w:rsidRDefault="008E1F03">
                  <w:pPr>
                    <w:widowControl w:val="0"/>
                    <w:tabs>
                      <w:tab w:val="left" w:pos="709"/>
                      <w:tab w:val="center" w:pos="1740"/>
                      <w:tab w:val="center" w:pos="5896"/>
                    </w:tabs>
                    <w:suppressAutoHyphens/>
                    <w:adjustRightInd w:val="0"/>
                    <w:jc w:val="center"/>
                    <w:rPr>
                      <w:rFonts w:ascii="Times New Roman" w:hAnsi="Times New Roman"/>
                      <w:color w:val="000000"/>
                      <w:sz w:val="20"/>
                      <w:szCs w:val="20"/>
                    </w:rPr>
                  </w:pPr>
                  <w:r w:rsidRPr="008E1F03">
                    <w:rPr>
                      <w:rFonts w:ascii="Times New Roman" w:hAnsi="Times New Roman"/>
                      <w:b/>
                      <w:sz w:val="20"/>
                      <w:szCs w:val="20"/>
                    </w:rPr>
                    <w:t>5-</w:t>
                  </w:r>
                </w:p>
              </w:tc>
              <w:tc>
                <w:tcPr>
                  <w:tcW w:w="3958" w:type="dxa"/>
                  <w:tcBorders>
                    <w:top w:val="single" w:sz="4" w:space="0" w:color="auto"/>
                    <w:left w:val="single" w:sz="4" w:space="0" w:color="auto"/>
                    <w:bottom w:val="single" w:sz="4" w:space="0" w:color="auto"/>
                    <w:right w:val="single" w:sz="4" w:space="0" w:color="auto"/>
                  </w:tcBorders>
                  <w:vAlign w:val="center"/>
                  <w:hideMark/>
                </w:tcPr>
                <w:p w:rsidR="008E1F03" w:rsidRPr="008E1F03" w:rsidRDefault="008E1F03">
                  <w:pPr>
                    <w:jc w:val="center"/>
                    <w:rPr>
                      <w:rFonts w:ascii="Times New Roman" w:hAnsi="Times New Roman"/>
                      <w:color w:val="000000"/>
                      <w:sz w:val="20"/>
                      <w:szCs w:val="20"/>
                    </w:rPr>
                  </w:pPr>
                  <w:proofErr w:type="gramStart"/>
                  <w:r w:rsidRPr="008E1F03">
                    <w:rPr>
                      <w:rFonts w:ascii="Times New Roman" w:hAnsi="Times New Roman"/>
                      <w:sz w:val="20"/>
                      <w:szCs w:val="20"/>
                    </w:rPr>
                    <w:t>29/12/2010</w:t>
                  </w:r>
                  <w:proofErr w:type="gramEnd"/>
                </w:p>
              </w:tc>
              <w:tc>
                <w:tcPr>
                  <w:tcW w:w="4607" w:type="dxa"/>
                  <w:tcBorders>
                    <w:top w:val="single" w:sz="4" w:space="0" w:color="auto"/>
                    <w:left w:val="single" w:sz="4" w:space="0" w:color="auto"/>
                    <w:bottom w:val="single" w:sz="4" w:space="0" w:color="auto"/>
                    <w:right w:val="single" w:sz="4" w:space="0" w:color="auto"/>
                  </w:tcBorders>
                  <w:vAlign w:val="center"/>
                  <w:hideMark/>
                </w:tcPr>
                <w:p w:rsidR="008E1F03" w:rsidRPr="008E1F03" w:rsidRDefault="008E1F03">
                  <w:pPr>
                    <w:jc w:val="center"/>
                    <w:rPr>
                      <w:rFonts w:ascii="Times New Roman" w:hAnsi="Times New Roman"/>
                      <w:color w:val="000000"/>
                      <w:sz w:val="20"/>
                      <w:szCs w:val="20"/>
                    </w:rPr>
                  </w:pPr>
                  <w:r w:rsidRPr="008E1F03">
                    <w:rPr>
                      <w:rFonts w:ascii="Times New Roman" w:hAnsi="Times New Roman"/>
                      <w:sz w:val="20"/>
                      <w:szCs w:val="20"/>
                    </w:rPr>
                    <w:t>27800</w:t>
                  </w:r>
                </w:p>
              </w:tc>
            </w:tr>
          </w:tbl>
          <w:p w:rsidR="008E1F03" w:rsidRPr="008E1F03" w:rsidRDefault="008E1F03" w:rsidP="00B5571B">
            <w:pPr>
              <w:spacing w:before="100" w:beforeAutospacing="1" w:after="100" w:afterAutospacing="1" w:line="240" w:lineRule="auto"/>
              <w:jc w:val="center"/>
              <w:rPr>
                <w:rFonts w:ascii="Times New Roman" w:eastAsia="Times New Roman" w:hAnsi="Times New Roman"/>
                <w:b/>
                <w:color w:val="000080"/>
                <w:sz w:val="20"/>
                <w:szCs w:val="20"/>
                <w:lang w:eastAsia="tr-TR"/>
              </w:rPr>
            </w:pPr>
          </w:p>
        </w:tc>
      </w:tr>
      <w:tr w:rsidR="00B5571B" w:rsidRPr="008E1F03">
        <w:trPr>
          <w:trHeight w:val="480"/>
          <w:jc w:val="center"/>
        </w:trPr>
        <w:tc>
          <w:tcPr>
            <w:tcW w:w="8789" w:type="dxa"/>
            <w:vAlign w:val="center"/>
          </w:tcPr>
          <w:p w:rsidR="00B5571B" w:rsidRPr="008E1F03" w:rsidRDefault="00B5571B" w:rsidP="00B5571B">
            <w:pPr>
              <w:spacing w:after="0" w:line="240" w:lineRule="auto"/>
              <w:jc w:val="center"/>
              <w:rPr>
                <w:rFonts w:ascii="Times New Roman" w:eastAsia="Times New Roman" w:hAnsi="Times New Roman"/>
                <w:sz w:val="20"/>
                <w:szCs w:val="20"/>
                <w:lang w:eastAsia="tr-TR"/>
              </w:rPr>
            </w:pPr>
          </w:p>
        </w:tc>
      </w:tr>
    </w:tbl>
    <w:p w:rsidR="00B5571B" w:rsidRPr="008E1F03" w:rsidRDefault="00B5571B" w:rsidP="005B41E3">
      <w:pPr>
        <w:pStyle w:val="NormalWeb"/>
        <w:spacing w:before="0" w:beforeAutospacing="0" w:after="0" w:afterAutospacing="0" w:line="276" w:lineRule="auto"/>
        <w:rPr>
          <w:color w:val="auto"/>
          <w:sz w:val="20"/>
          <w:szCs w:val="20"/>
        </w:rPr>
      </w:pPr>
    </w:p>
    <w:sectPr w:rsidR="00B5571B" w:rsidRPr="008E1F03"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3DE" w:rsidRDefault="006E53DE" w:rsidP="0081347A">
      <w:pPr>
        <w:spacing w:after="0" w:line="240" w:lineRule="auto"/>
      </w:pPr>
      <w:r>
        <w:separator/>
      </w:r>
    </w:p>
  </w:endnote>
  <w:endnote w:type="continuationSeparator" w:id="0">
    <w:p w:rsidR="006E53DE" w:rsidRDefault="006E53DE"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ambria Math">
    <w:panose1 w:val="02040503050406030204"/>
    <w:charset w:val="A2"/>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3DE" w:rsidRDefault="006E53DE" w:rsidP="0081347A">
      <w:pPr>
        <w:spacing w:after="0" w:line="240" w:lineRule="auto"/>
      </w:pPr>
      <w:r>
        <w:separator/>
      </w:r>
    </w:p>
  </w:footnote>
  <w:footnote w:type="continuationSeparator" w:id="0">
    <w:p w:rsidR="006E53DE" w:rsidRDefault="006E53DE"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3BB9"/>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6EB3"/>
    <w:rsid w:val="00087ED9"/>
    <w:rsid w:val="000905F4"/>
    <w:rsid w:val="00090BEF"/>
    <w:rsid w:val="00095BD4"/>
    <w:rsid w:val="00097F61"/>
    <w:rsid w:val="000A04F3"/>
    <w:rsid w:val="000A10A0"/>
    <w:rsid w:val="000A371E"/>
    <w:rsid w:val="000A3B5B"/>
    <w:rsid w:val="000A570C"/>
    <w:rsid w:val="000B598F"/>
    <w:rsid w:val="000C7274"/>
    <w:rsid w:val="000D358E"/>
    <w:rsid w:val="000D60B6"/>
    <w:rsid w:val="000E0CB0"/>
    <w:rsid w:val="000E1642"/>
    <w:rsid w:val="000F329C"/>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483D"/>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6C7D"/>
    <w:rsid w:val="001C7338"/>
    <w:rsid w:val="001D0FBC"/>
    <w:rsid w:val="001D2BBA"/>
    <w:rsid w:val="001D373D"/>
    <w:rsid w:val="001D67DF"/>
    <w:rsid w:val="001E20D7"/>
    <w:rsid w:val="001E2593"/>
    <w:rsid w:val="001E5A85"/>
    <w:rsid w:val="001E6B2E"/>
    <w:rsid w:val="001E70F5"/>
    <w:rsid w:val="001E7D0F"/>
    <w:rsid w:val="001F3F1E"/>
    <w:rsid w:val="001F61B8"/>
    <w:rsid w:val="001F7844"/>
    <w:rsid w:val="002040FB"/>
    <w:rsid w:val="00204FD7"/>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029D"/>
    <w:rsid w:val="00472E5E"/>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D66D2"/>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47B6F"/>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41E3"/>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E53DE"/>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677BE"/>
    <w:rsid w:val="007763F3"/>
    <w:rsid w:val="00782B99"/>
    <w:rsid w:val="0078358E"/>
    <w:rsid w:val="0078680E"/>
    <w:rsid w:val="00786893"/>
    <w:rsid w:val="00797A52"/>
    <w:rsid w:val="007A341F"/>
    <w:rsid w:val="007B17AB"/>
    <w:rsid w:val="007B414B"/>
    <w:rsid w:val="007B586D"/>
    <w:rsid w:val="007B6472"/>
    <w:rsid w:val="007C03F6"/>
    <w:rsid w:val="007C7059"/>
    <w:rsid w:val="007C7C53"/>
    <w:rsid w:val="007D337A"/>
    <w:rsid w:val="007D3802"/>
    <w:rsid w:val="007D436D"/>
    <w:rsid w:val="007D53C6"/>
    <w:rsid w:val="007D5605"/>
    <w:rsid w:val="007D70ED"/>
    <w:rsid w:val="007E15AA"/>
    <w:rsid w:val="007E6106"/>
    <w:rsid w:val="007E71A2"/>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0392"/>
    <w:rsid w:val="008612C2"/>
    <w:rsid w:val="008622E9"/>
    <w:rsid w:val="00871B2B"/>
    <w:rsid w:val="00875AD5"/>
    <w:rsid w:val="0088387E"/>
    <w:rsid w:val="0088422B"/>
    <w:rsid w:val="008857CC"/>
    <w:rsid w:val="00887AA8"/>
    <w:rsid w:val="00892380"/>
    <w:rsid w:val="00893F3F"/>
    <w:rsid w:val="00897051"/>
    <w:rsid w:val="008A28BE"/>
    <w:rsid w:val="008B1E47"/>
    <w:rsid w:val="008B42D6"/>
    <w:rsid w:val="008B4EC5"/>
    <w:rsid w:val="008B7427"/>
    <w:rsid w:val="008C1D7C"/>
    <w:rsid w:val="008C58E9"/>
    <w:rsid w:val="008C7D14"/>
    <w:rsid w:val="008D0670"/>
    <w:rsid w:val="008D1122"/>
    <w:rsid w:val="008D3048"/>
    <w:rsid w:val="008E1F03"/>
    <w:rsid w:val="008F1C6A"/>
    <w:rsid w:val="008F5572"/>
    <w:rsid w:val="00900CBD"/>
    <w:rsid w:val="0090427F"/>
    <w:rsid w:val="00914B74"/>
    <w:rsid w:val="00923E92"/>
    <w:rsid w:val="00923F19"/>
    <w:rsid w:val="00927605"/>
    <w:rsid w:val="009310DB"/>
    <w:rsid w:val="00946F05"/>
    <w:rsid w:val="0095461D"/>
    <w:rsid w:val="00955055"/>
    <w:rsid w:val="00955D08"/>
    <w:rsid w:val="00957BB5"/>
    <w:rsid w:val="009617A0"/>
    <w:rsid w:val="00965D2D"/>
    <w:rsid w:val="00975131"/>
    <w:rsid w:val="00976965"/>
    <w:rsid w:val="009778EC"/>
    <w:rsid w:val="009779C6"/>
    <w:rsid w:val="009822A0"/>
    <w:rsid w:val="009859A3"/>
    <w:rsid w:val="009861C1"/>
    <w:rsid w:val="00992B61"/>
    <w:rsid w:val="009A7983"/>
    <w:rsid w:val="009B49D1"/>
    <w:rsid w:val="009B5F7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279BA"/>
    <w:rsid w:val="00A32A3E"/>
    <w:rsid w:val="00A34055"/>
    <w:rsid w:val="00A42F6B"/>
    <w:rsid w:val="00A47DF7"/>
    <w:rsid w:val="00A50E51"/>
    <w:rsid w:val="00A53E0D"/>
    <w:rsid w:val="00A5423E"/>
    <w:rsid w:val="00A55A86"/>
    <w:rsid w:val="00A708D6"/>
    <w:rsid w:val="00A72F37"/>
    <w:rsid w:val="00A7326E"/>
    <w:rsid w:val="00A73C3E"/>
    <w:rsid w:val="00A73FCB"/>
    <w:rsid w:val="00A75C46"/>
    <w:rsid w:val="00A76E04"/>
    <w:rsid w:val="00A81E6F"/>
    <w:rsid w:val="00A86068"/>
    <w:rsid w:val="00A90FFC"/>
    <w:rsid w:val="00A946D8"/>
    <w:rsid w:val="00A95E67"/>
    <w:rsid w:val="00A97E27"/>
    <w:rsid w:val="00AA6603"/>
    <w:rsid w:val="00AB3814"/>
    <w:rsid w:val="00AB51B7"/>
    <w:rsid w:val="00AB5381"/>
    <w:rsid w:val="00AB6B4F"/>
    <w:rsid w:val="00AC5FB0"/>
    <w:rsid w:val="00AC73D1"/>
    <w:rsid w:val="00AD2EBF"/>
    <w:rsid w:val="00AE0BCA"/>
    <w:rsid w:val="00AE2957"/>
    <w:rsid w:val="00AF18CB"/>
    <w:rsid w:val="00AF7F1B"/>
    <w:rsid w:val="00B042C5"/>
    <w:rsid w:val="00B0466E"/>
    <w:rsid w:val="00B06F9B"/>
    <w:rsid w:val="00B1116C"/>
    <w:rsid w:val="00B141B2"/>
    <w:rsid w:val="00B161F2"/>
    <w:rsid w:val="00B172AB"/>
    <w:rsid w:val="00B17E49"/>
    <w:rsid w:val="00B22587"/>
    <w:rsid w:val="00B22CEE"/>
    <w:rsid w:val="00B25538"/>
    <w:rsid w:val="00B3168C"/>
    <w:rsid w:val="00B35AA0"/>
    <w:rsid w:val="00B40119"/>
    <w:rsid w:val="00B41BAB"/>
    <w:rsid w:val="00B53232"/>
    <w:rsid w:val="00B547A7"/>
    <w:rsid w:val="00B54C98"/>
    <w:rsid w:val="00B5571B"/>
    <w:rsid w:val="00B571F5"/>
    <w:rsid w:val="00B66045"/>
    <w:rsid w:val="00B67C40"/>
    <w:rsid w:val="00B71C5A"/>
    <w:rsid w:val="00B85B25"/>
    <w:rsid w:val="00B93114"/>
    <w:rsid w:val="00B96098"/>
    <w:rsid w:val="00B96ECC"/>
    <w:rsid w:val="00B979FB"/>
    <w:rsid w:val="00BA12FB"/>
    <w:rsid w:val="00BA357F"/>
    <w:rsid w:val="00BB1D6F"/>
    <w:rsid w:val="00BB5648"/>
    <w:rsid w:val="00BB7765"/>
    <w:rsid w:val="00BC1234"/>
    <w:rsid w:val="00BC21A0"/>
    <w:rsid w:val="00BC528E"/>
    <w:rsid w:val="00BE0BB2"/>
    <w:rsid w:val="00BF00C5"/>
    <w:rsid w:val="00BF3D47"/>
    <w:rsid w:val="00C027C0"/>
    <w:rsid w:val="00C02E6D"/>
    <w:rsid w:val="00C04535"/>
    <w:rsid w:val="00C131A3"/>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5041"/>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4D76"/>
    <w:rsid w:val="00D55943"/>
    <w:rsid w:val="00D61BD4"/>
    <w:rsid w:val="00D62793"/>
    <w:rsid w:val="00D64D0A"/>
    <w:rsid w:val="00D70542"/>
    <w:rsid w:val="00D71D7F"/>
    <w:rsid w:val="00D72C6C"/>
    <w:rsid w:val="00D74DD7"/>
    <w:rsid w:val="00D76669"/>
    <w:rsid w:val="00D7689B"/>
    <w:rsid w:val="00D82100"/>
    <w:rsid w:val="00D872E9"/>
    <w:rsid w:val="00D9474D"/>
    <w:rsid w:val="00DA15CC"/>
    <w:rsid w:val="00DA6885"/>
    <w:rsid w:val="00DA7316"/>
    <w:rsid w:val="00DA7A19"/>
    <w:rsid w:val="00DB1B78"/>
    <w:rsid w:val="00DC417E"/>
    <w:rsid w:val="00DC49D7"/>
    <w:rsid w:val="00DC712D"/>
    <w:rsid w:val="00DD3F1C"/>
    <w:rsid w:val="00DE0F23"/>
    <w:rsid w:val="00DE312F"/>
    <w:rsid w:val="00DE61E0"/>
    <w:rsid w:val="00DF58F4"/>
    <w:rsid w:val="00DF6873"/>
    <w:rsid w:val="00E01C14"/>
    <w:rsid w:val="00E02655"/>
    <w:rsid w:val="00E078D7"/>
    <w:rsid w:val="00E1427E"/>
    <w:rsid w:val="00E22FE3"/>
    <w:rsid w:val="00E3120D"/>
    <w:rsid w:val="00E32E2A"/>
    <w:rsid w:val="00E42D71"/>
    <w:rsid w:val="00E42D7C"/>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24913"/>
    <w:rsid w:val="00F4659C"/>
    <w:rsid w:val="00F476C5"/>
    <w:rsid w:val="00F5570D"/>
    <w:rsid w:val="00F565B1"/>
    <w:rsid w:val="00F6023D"/>
    <w:rsid w:val="00F64245"/>
    <w:rsid w:val="00F64487"/>
    <w:rsid w:val="00F66165"/>
    <w:rsid w:val="00F6694A"/>
    <w:rsid w:val="00F80D26"/>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E72EE"/>
    <w:rsid w:val="00FF1085"/>
    <w:rsid w:val="00FF29FD"/>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8C58E9"/>
    <w:rPr>
      <w:strike w:val="0"/>
      <w:dstrike w:val="0"/>
      <w:color w:val="000080"/>
      <w:u w:val="none"/>
      <w:effect w:val="none"/>
    </w:rPr>
  </w:style>
  <w:style w:type="paragraph" w:styleId="DzMetin">
    <w:name w:val="Plain Text"/>
    <w:basedOn w:val="Normal"/>
    <w:link w:val="DzMetinChar"/>
    <w:uiPriority w:val="99"/>
    <w:semiHidden/>
    <w:unhideWhenUsed/>
    <w:rsid w:val="007C7C53"/>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zMetinChar">
    <w:name w:val="Düz Metin Char"/>
    <w:basedOn w:val="VarsaylanParagrafYazTipi"/>
    <w:link w:val="DzMetin"/>
    <w:uiPriority w:val="99"/>
    <w:semiHidden/>
    <w:rsid w:val="007C7C53"/>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1207</Words>
  <Characters>6880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79</cp:revision>
  <cp:lastPrinted>2010-11-01T12:33:00Z</cp:lastPrinted>
  <dcterms:created xsi:type="dcterms:W3CDTF">2011-05-27T05:50:00Z</dcterms:created>
  <dcterms:modified xsi:type="dcterms:W3CDTF">2011-06-29T05:30:00Z</dcterms:modified>
</cp:coreProperties>
</file>