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21B09" w:rsidRDefault="00627628">
      <w:pPr>
        <w:rPr>
          <w:rFonts w:ascii="Times New Roman" w:hAnsi="Times New Roman" w:cs="Times New Roman"/>
          <w:sz w:val="20"/>
          <w:szCs w:val="20"/>
        </w:rPr>
      </w:pPr>
    </w:p>
    <w:p w:rsidR="009F6B64" w:rsidRPr="00221B09" w:rsidRDefault="009F6B64">
      <w:pPr>
        <w:rPr>
          <w:rFonts w:ascii="Times New Roman" w:hAnsi="Times New Roman" w:cs="Times New Roman"/>
          <w:sz w:val="20"/>
          <w:szCs w:val="20"/>
        </w:rPr>
      </w:pPr>
    </w:p>
    <w:p w:rsidR="009F6B64" w:rsidRPr="00221B09" w:rsidRDefault="009F6B64" w:rsidP="009F6B64">
      <w:pPr>
        <w:spacing w:after="0"/>
        <w:rPr>
          <w:rFonts w:ascii="Times New Roman" w:eastAsia="Times New Roman" w:hAnsi="Times New Roman" w:cs="Times New Roman"/>
          <w:b/>
          <w:sz w:val="20"/>
          <w:szCs w:val="20"/>
          <w:u w:val="single"/>
          <w:lang w:eastAsia="tr-TR"/>
        </w:rPr>
      </w:pPr>
      <w:r w:rsidRPr="00221B09">
        <w:rPr>
          <w:rFonts w:ascii="Times New Roman" w:eastAsia="Times New Roman" w:hAnsi="Times New Roman" w:cs="Times New Roman"/>
          <w:b/>
          <w:sz w:val="20"/>
          <w:szCs w:val="20"/>
          <w:u w:val="single"/>
          <w:lang w:eastAsia="tr-TR"/>
        </w:rPr>
        <w:t>01 Temmuz 2011 Tarih,</w:t>
      </w:r>
      <w:r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ab/>
      </w:r>
      <w:r w:rsidR="006B16F2" w:rsidRPr="00221B09">
        <w:rPr>
          <w:rFonts w:ascii="Times New Roman" w:eastAsia="Times New Roman" w:hAnsi="Times New Roman" w:cs="Times New Roman"/>
          <w:b/>
          <w:sz w:val="20"/>
          <w:szCs w:val="20"/>
          <w:u w:val="single"/>
          <w:lang w:eastAsia="tr-TR"/>
        </w:rPr>
        <w:tab/>
      </w:r>
      <w:r w:rsidRPr="00221B09">
        <w:rPr>
          <w:rFonts w:ascii="Times New Roman" w:eastAsia="Times New Roman" w:hAnsi="Times New Roman" w:cs="Times New Roman"/>
          <w:b/>
          <w:sz w:val="20"/>
          <w:szCs w:val="20"/>
          <w:u w:val="single"/>
          <w:lang w:eastAsia="tr-TR"/>
        </w:rPr>
        <w:t>Sayı: 27981</w:t>
      </w:r>
    </w:p>
    <w:p w:rsidR="009F6B64" w:rsidRPr="00221B09" w:rsidRDefault="009F6B64" w:rsidP="009F6B64">
      <w:pPr>
        <w:spacing w:after="0"/>
        <w:rPr>
          <w:rFonts w:ascii="Times New Roman" w:eastAsia="Times New Roman" w:hAnsi="Times New Roman" w:cs="Times New Roman"/>
          <w:sz w:val="20"/>
          <w:szCs w:val="20"/>
          <w:lang w:eastAsia="tr-TR"/>
        </w:rPr>
      </w:pPr>
      <w:r w:rsidRPr="00221B09">
        <w:rPr>
          <w:rFonts w:ascii="Times New Roman" w:eastAsia="Times New Roman" w:hAnsi="Times New Roman" w:cs="Times New Roman"/>
          <w:sz w:val="20"/>
          <w:szCs w:val="20"/>
          <w:lang w:eastAsia="tr-TR"/>
        </w:rPr>
        <w:t> </w:t>
      </w:r>
    </w:p>
    <w:p w:rsidR="00221B09" w:rsidRPr="00221B09" w:rsidRDefault="00221B09" w:rsidP="00221B09">
      <w:pPr>
        <w:pStyle w:val="NormalWeb"/>
        <w:spacing w:before="0" w:beforeAutospacing="0" w:after="0" w:afterAutospacing="0" w:line="276" w:lineRule="auto"/>
        <w:rPr>
          <w:b/>
          <w:color w:val="auto"/>
          <w:sz w:val="20"/>
          <w:szCs w:val="20"/>
        </w:rPr>
      </w:pPr>
      <w:r w:rsidRPr="00221B09">
        <w:rPr>
          <w:b/>
          <w:color w:val="auto"/>
          <w:sz w:val="20"/>
          <w:szCs w:val="20"/>
        </w:rPr>
        <w:t>Bayındırlık ve İskân Bakanlığından:</w:t>
      </w:r>
    </w:p>
    <w:p w:rsidR="00221B09" w:rsidRPr="00221B09" w:rsidRDefault="00221B09" w:rsidP="00221B09">
      <w:pPr>
        <w:pStyle w:val="2-ortabaslk"/>
        <w:spacing w:before="0" w:beforeAutospacing="0" w:after="0" w:afterAutospacing="0" w:line="276" w:lineRule="auto"/>
        <w:rPr>
          <w:color w:val="auto"/>
          <w:sz w:val="20"/>
          <w:szCs w:val="20"/>
        </w:rPr>
      </w:pPr>
      <w:r w:rsidRPr="00221B09">
        <w:rPr>
          <w:color w:val="auto"/>
          <w:sz w:val="20"/>
          <w:szCs w:val="20"/>
        </w:rPr>
        <w:t> </w:t>
      </w:r>
    </w:p>
    <w:p w:rsidR="00221B09" w:rsidRPr="00221B09" w:rsidRDefault="00221B09" w:rsidP="00221B09">
      <w:pPr>
        <w:pStyle w:val="2-ortabaslk"/>
        <w:spacing w:before="0" w:beforeAutospacing="0" w:after="0" w:afterAutospacing="0" w:line="276" w:lineRule="auto"/>
        <w:jc w:val="center"/>
        <w:rPr>
          <w:color w:val="auto"/>
          <w:sz w:val="20"/>
          <w:szCs w:val="20"/>
        </w:rPr>
      </w:pPr>
      <w:r w:rsidRPr="00221B09">
        <w:rPr>
          <w:b/>
          <w:bCs/>
          <w:color w:val="auto"/>
          <w:sz w:val="20"/>
          <w:szCs w:val="20"/>
        </w:rPr>
        <w:t>YAPI DENETİMİ UYGULAMA YÖNETMELİĞİNDE</w:t>
      </w:r>
    </w:p>
    <w:p w:rsidR="00221B09" w:rsidRPr="00221B09" w:rsidRDefault="00221B09" w:rsidP="00221B09">
      <w:pPr>
        <w:pStyle w:val="2-ortabaslk"/>
        <w:spacing w:before="0" w:beforeAutospacing="0" w:after="0" w:afterAutospacing="0" w:line="276" w:lineRule="auto"/>
        <w:jc w:val="center"/>
        <w:rPr>
          <w:color w:val="auto"/>
          <w:sz w:val="20"/>
          <w:szCs w:val="20"/>
        </w:rPr>
      </w:pPr>
      <w:r w:rsidRPr="00221B09">
        <w:rPr>
          <w:b/>
          <w:bCs/>
          <w:color w:val="auto"/>
          <w:sz w:val="20"/>
          <w:szCs w:val="20"/>
        </w:rPr>
        <w:t xml:space="preserve">DEĞİŞİKLİK YAPILMASINA DAİR </w:t>
      </w:r>
    </w:p>
    <w:p w:rsidR="00221B09" w:rsidRPr="00221B09" w:rsidRDefault="00221B09" w:rsidP="00221B09">
      <w:pPr>
        <w:pStyle w:val="2-ortabaslk"/>
        <w:spacing w:before="0" w:beforeAutospacing="0" w:after="0" w:afterAutospacing="0" w:line="276" w:lineRule="auto"/>
        <w:jc w:val="center"/>
        <w:rPr>
          <w:color w:val="auto"/>
          <w:sz w:val="20"/>
          <w:szCs w:val="20"/>
        </w:rPr>
      </w:pPr>
      <w:r w:rsidRPr="00221B09">
        <w:rPr>
          <w:b/>
          <w:bCs/>
          <w:color w:val="auto"/>
          <w:sz w:val="20"/>
          <w:szCs w:val="20"/>
        </w:rPr>
        <w:t>YÖNETMELİK</w:t>
      </w:r>
    </w:p>
    <w:p w:rsidR="00221B09" w:rsidRPr="00221B09" w:rsidRDefault="00221B09" w:rsidP="00221B09">
      <w:pPr>
        <w:pStyle w:val="2-ortabaslk"/>
        <w:spacing w:before="0" w:beforeAutospacing="0" w:after="0" w:afterAutospacing="0" w:line="276" w:lineRule="auto"/>
        <w:jc w:val="center"/>
        <w:rPr>
          <w:color w:val="auto"/>
          <w:sz w:val="20"/>
          <w:szCs w:val="20"/>
        </w:rPr>
      </w:pPr>
      <w:r w:rsidRPr="00221B09">
        <w:rPr>
          <w:color w:val="auto"/>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bCs/>
          <w:sz w:val="20"/>
          <w:szCs w:val="20"/>
        </w:rPr>
        <w:t>MADDE 1 –</w:t>
      </w:r>
      <w:r w:rsidRPr="00221B09">
        <w:rPr>
          <w:rFonts w:ascii="Times New Roman" w:hAnsi="Times New Roman" w:cs="Times New Roman"/>
          <w:sz w:val="20"/>
          <w:szCs w:val="20"/>
        </w:rPr>
        <w:t xml:space="preserve"> </w:t>
      </w:r>
      <w:proofErr w:type="gramStart"/>
      <w:r w:rsidRPr="00221B09">
        <w:rPr>
          <w:rFonts w:ascii="Times New Roman" w:hAnsi="Times New Roman" w:cs="Times New Roman"/>
          <w:sz w:val="20"/>
          <w:szCs w:val="20"/>
        </w:rPr>
        <w:t>5/2/2008</w:t>
      </w:r>
      <w:proofErr w:type="gramEnd"/>
      <w:r w:rsidRPr="00221B09">
        <w:rPr>
          <w:rFonts w:ascii="Times New Roman" w:hAnsi="Times New Roman" w:cs="Times New Roman"/>
          <w:sz w:val="20"/>
          <w:szCs w:val="20"/>
        </w:rPr>
        <w:t xml:space="preserve"> tarihli ve 26778 sayılı Resmî Gazete’de yayımlanan Yapı Denetimi Uygulama </w:t>
      </w:r>
      <w:proofErr w:type="spellStart"/>
      <w:r w:rsidRPr="00221B09">
        <w:rPr>
          <w:rFonts w:ascii="Times New Roman" w:hAnsi="Times New Roman" w:cs="Times New Roman"/>
          <w:sz w:val="20"/>
          <w:szCs w:val="20"/>
        </w:rPr>
        <w:t>Yönetmliğinin</w:t>
      </w:r>
      <w:proofErr w:type="spellEnd"/>
      <w:r w:rsidRPr="00221B09">
        <w:rPr>
          <w:rFonts w:ascii="Times New Roman" w:hAnsi="Times New Roman" w:cs="Times New Roman"/>
          <w:sz w:val="20"/>
          <w:szCs w:val="20"/>
        </w:rPr>
        <w:t xml:space="preserve"> 3 üncü maddesinin birinci fıkrasının (i) bendi aşağıdaki şekilde değiştirilmiştir.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“i) Şantiye şefi: Konusuna ve niteliğine göre yapım işlerini yapı müteahhidi adına yöneterek uygulayan, mühendis veya mimar diplomasına sahip teknik personeli,”</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MADDE 2 –</w:t>
      </w:r>
      <w:r w:rsidRPr="00221B09">
        <w:rPr>
          <w:rFonts w:ascii="Times New Roman" w:hAnsi="Times New Roman" w:cs="Times New Roman"/>
          <w:sz w:val="20"/>
          <w:szCs w:val="20"/>
        </w:rPr>
        <w:t xml:space="preserve"> Aynı Yönetmeliğin 5 inci maddesinin üçüncü fıkrasının (b) bendi aşağıdaki şekilde değiştirilmiştir.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proofErr w:type="gramStart"/>
      <w:r w:rsidRPr="00221B09">
        <w:rPr>
          <w:rFonts w:ascii="Times New Roman" w:hAnsi="Times New Roman" w:cs="Times New Roman"/>
          <w:sz w:val="20"/>
          <w:szCs w:val="20"/>
        </w:rPr>
        <w:t xml:space="preserve">“b) Yapı denetimi izin belgesinin ilgili idare tarafından tasdikli sureti ile Bakanlıkça onaylanmış yapıya ilişkin bilgi formunun aslını, yapının denetimini üstlendiği konusunda ek-5’te gösterilen form-3’e uygun taahhütnameyi, yapı denetim kuruluşunun yapı sahibi ile imzaladığı ek-6’da gösterilen form-4’e uygun sözleşmeyi ve projelerdeki eksikliklerin giderildiğini gösterir proje kontrol formunu ilgili idareye verir. </w:t>
      </w:r>
      <w:proofErr w:type="gramEnd"/>
      <w:r w:rsidRPr="00221B09">
        <w:rPr>
          <w:rFonts w:ascii="Times New Roman" w:hAnsi="Times New Roman" w:cs="Times New Roman"/>
          <w:sz w:val="20"/>
          <w:szCs w:val="20"/>
        </w:rPr>
        <w:t>Söz konusu evraklarda noter tasdiki aranmaz.”</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MADDE 3 –</w:t>
      </w:r>
      <w:r w:rsidRPr="00221B09">
        <w:rPr>
          <w:rFonts w:ascii="Times New Roman" w:hAnsi="Times New Roman" w:cs="Times New Roman"/>
          <w:sz w:val="20"/>
          <w:szCs w:val="20"/>
        </w:rPr>
        <w:t xml:space="preserve"> Aynı Yönetmeliğin 9 uncu maddesinin ikinci fıkrası aşağıdaki şekilde değiştirilmiştir.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“(2) Yapım işleri yürütülen şantiyede, mühendis veya mimar diplomasına sahip olmak üzere bir şantiye şefinin bulundurulması mecburidir. Yapı müteahhidi, inşaatta görevlendireceği şantiye şefi ile asgari hüküm ve şartları ek-12’de gösterilen form-10’da belirlenmiş sözleşmeyi imzalar. Bu sözleşmenin bir sureti yapı denetim kuruluşuna verilir. Mühendis veya mimar diplomasına sahip olan yapı müteahhidinin şantiye şefliğini üstlenmesi hâlinde, şantiye şefliği için sözleşme akdedilmesi şartı aranmaz. Yapı sahibi ile yapılan sözleşmede bu husus belirtilir.”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MADDE 4 –</w:t>
      </w:r>
      <w:r w:rsidRPr="00221B09">
        <w:rPr>
          <w:rFonts w:ascii="Times New Roman" w:hAnsi="Times New Roman" w:cs="Times New Roman"/>
          <w:sz w:val="20"/>
          <w:szCs w:val="20"/>
        </w:rPr>
        <w:t xml:space="preserve"> Aynı Yönetmeliğin 15 inci maddesinin dördüncü fıkrası aşağıdaki şekilde değiştirilmiştir.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“(4) Yardımcı kontrol elemanı: Yardımcı kontrol elemanı, her yıl Bakanlık tarafından yayımlanan Mimarlık ve Mühendislik Hizmet Bedellerinin Hesabında Kullanılacak Yapı Yaklaşık Birim Maliyetleri Hakkında Tebliğe göre 3b (dâhil) grubuna kadar olan ve inşaat alanı 15.000 m</w:t>
      </w:r>
      <w:r w:rsidRPr="00221B09">
        <w:rPr>
          <w:rFonts w:ascii="Times New Roman" w:hAnsi="Times New Roman" w:cs="Times New Roman"/>
          <w:sz w:val="20"/>
          <w:szCs w:val="20"/>
          <w:vertAlign w:val="superscript"/>
        </w:rPr>
        <w:t>2</w:t>
      </w:r>
      <w:r w:rsidRPr="00221B09">
        <w:rPr>
          <w:rFonts w:ascii="Times New Roman" w:hAnsi="Times New Roman" w:cs="Times New Roman"/>
          <w:sz w:val="20"/>
          <w:szCs w:val="20"/>
        </w:rPr>
        <w:t xml:space="preserve">’yi geçmeyen bir yapının denetimi üstlenildiğinde, yapı denetim kuruluşunda kontrol elemanı yerine görevlendirilir. Yardımcı kontrol elemanı, denetçi mimar ve denetçi mühendislerin sevk ve idaresi altında görev yapar. Görevlendirildiği yapılarda denetçi mimar ve denetçi </w:t>
      </w:r>
      <w:r w:rsidRPr="00221B09">
        <w:rPr>
          <w:rFonts w:ascii="Times New Roman" w:hAnsi="Times New Roman" w:cs="Times New Roman"/>
          <w:sz w:val="20"/>
          <w:szCs w:val="20"/>
        </w:rPr>
        <w:lastRenderedPageBreak/>
        <w:t xml:space="preserve">mühendisler ile birlikte </w:t>
      </w:r>
      <w:proofErr w:type="spellStart"/>
      <w:r w:rsidRPr="00221B09">
        <w:rPr>
          <w:rFonts w:ascii="Times New Roman" w:hAnsi="Times New Roman" w:cs="Times New Roman"/>
          <w:sz w:val="20"/>
          <w:szCs w:val="20"/>
        </w:rPr>
        <w:t>müteselsilen</w:t>
      </w:r>
      <w:proofErr w:type="spellEnd"/>
      <w:r w:rsidRPr="00221B09">
        <w:rPr>
          <w:rFonts w:ascii="Times New Roman" w:hAnsi="Times New Roman" w:cs="Times New Roman"/>
          <w:sz w:val="20"/>
          <w:szCs w:val="20"/>
        </w:rPr>
        <w:t xml:space="preserve"> sorumludur. Denetim yetkisi sınırları, inşaat alanı itibarı ile aşağıdaki tabloda belirtilmiştir:</w:t>
      </w:r>
    </w:p>
    <w:p w:rsidR="00221B09" w:rsidRPr="00221B09" w:rsidRDefault="00221B09" w:rsidP="00221B09">
      <w:pPr>
        <w:pStyle w:val="3-normalyaz"/>
        <w:spacing w:before="0" w:beforeAutospacing="0" w:after="0" w:afterAutospacing="0" w:line="276" w:lineRule="auto"/>
        <w:rPr>
          <w:color w:val="auto"/>
          <w:sz w:val="20"/>
          <w:szCs w:val="20"/>
        </w:rPr>
      </w:pPr>
      <w:r w:rsidRPr="00221B09">
        <w:rPr>
          <w:color w:val="auto"/>
          <w:sz w:val="20"/>
          <w:szCs w:val="20"/>
        </w:rPr>
        <w:t> </w:t>
      </w:r>
    </w:p>
    <w:tbl>
      <w:tblPr>
        <w:tblW w:w="8505"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2815"/>
        <w:gridCol w:w="3157"/>
        <w:gridCol w:w="2533"/>
      </w:tblGrid>
      <w:tr w:rsidR="00221B09" w:rsidRPr="00221B09">
        <w:trPr>
          <w:tblCellSpacing w:w="0" w:type="dxa"/>
          <w:jc w:val="center"/>
        </w:trPr>
        <w:tc>
          <w:tcPr>
            <w:tcW w:w="1655" w:type="pct"/>
            <w:tcBorders>
              <w:top w:val="single" w:sz="2" w:space="0" w:color="auto"/>
              <w:left w:val="single" w:sz="2" w:space="0" w:color="auto"/>
              <w:bottom w:val="nil"/>
              <w:right w:val="single" w:sz="2" w:space="0" w:color="auto"/>
            </w:tcBorders>
            <w:hideMark/>
          </w:tcPr>
          <w:p w:rsidR="00221B09" w:rsidRPr="00221B09" w:rsidRDefault="00221B09">
            <w:pPr>
              <w:pStyle w:val="NormalWeb"/>
              <w:widowControl w:val="0"/>
              <w:spacing w:before="0" w:beforeAutospacing="0" w:after="0" w:afterAutospacing="0" w:line="276" w:lineRule="auto"/>
              <w:ind w:hanging="2"/>
              <w:jc w:val="center"/>
              <w:rPr>
                <w:color w:val="auto"/>
                <w:sz w:val="20"/>
                <w:szCs w:val="20"/>
              </w:rPr>
            </w:pPr>
            <w:r w:rsidRPr="00221B09">
              <w:rPr>
                <w:color w:val="auto"/>
                <w:sz w:val="20"/>
                <w:szCs w:val="20"/>
              </w:rPr>
              <w:t xml:space="preserve">Teknik öğretmen </w:t>
            </w:r>
          </w:p>
          <w:p w:rsidR="00221B09" w:rsidRPr="00221B09" w:rsidRDefault="00221B09">
            <w:pPr>
              <w:pStyle w:val="NormalWeb"/>
              <w:widowControl w:val="0"/>
              <w:spacing w:before="0" w:beforeAutospacing="0" w:after="0" w:afterAutospacing="0" w:line="276" w:lineRule="auto"/>
              <w:ind w:hanging="2"/>
              <w:jc w:val="center"/>
              <w:rPr>
                <w:color w:val="auto"/>
                <w:sz w:val="20"/>
                <w:szCs w:val="20"/>
              </w:rPr>
            </w:pPr>
            <w:r w:rsidRPr="00221B09">
              <w:rPr>
                <w:color w:val="auto"/>
                <w:sz w:val="20"/>
                <w:szCs w:val="20"/>
              </w:rPr>
              <w:t xml:space="preserve">(İnşaat, Makine, Elektrik) </w:t>
            </w:r>
          </w:p>
        </w:tc>
        <w:tc>
          <w:tcPr>
            <w:tcW w:w="1856" w:type="pct"/>
            <w:tcBorders>
              <w:top w:val="single" w:sz="2" w:space="0" w:color="auto"/>
              <w:left w:val="single" w:sz="2" w:space="0" w:color="auto"/>
              <w:bottom w:val="nil"/>
              <w:right w:val="single" w:sz="2" w:space="0" w:color="auto"/>
            </w:tcBorders>
            <w:hideMark/>
          </w:tcPr>
          <w:p w:rsidR="00221B09" w:rsidRPr="00221B09" w:rsidRDefault="00221B09">
            <w:pPr>
              <w:pStyle w:val="NormalWeb"/>
              <w:widowControl w:val="0"/>
              <w:spacing w:before="0" w:beforeAutospacing="0" w:after="0" w:afterAutospacing="0" w:line="276" w:lineRule="auto"/>
              <w:jc w:val="center"/>
              <w:rPr>
                <w:color w:val="auto"/>
                <w:sz w:val="20"/>
                <w:szCs w:val="20"/>
              </w:rPr>
            </w:pPr>
            <w:r w:rsidRPr="00221B09">
              <w:rPr>
                <w:color w:val="auto"/>
                <w:sz w:val="20"/>
                <w:szCs w:val="20"/>
              </w:rPr>
              <w:t>Tekniker</w:t>
            </w:r>
          </w:p>
          <w:p w:rsidR="00221B09" w:rsidRPr="00221B09" w:rsidRDefault="00221B09">
            <w:pPr>
              <w:pStyle w:val="NormalWeb"/>
              <w:widowControl w:val="0"/>
              <w:spacing w:before="0" w:beforeAutospacing="0" w:after="0" w:afterAutospacing="0" w:line="276" w:lineRule="auto"/>
              <w:jc w:val="center"/>
              <w:rPr>
                <w:color w:val="auto"/>
                <w:sz w:val="20"/>
                <w:szCs w:val="20"/>
              </w:rPr>
            </w:pPr>
            <w:r w:rsidRPr="00221B09">
              <w:rPr>
                <w:color w:val="auto"/>
                <w:sz w:val="20"/>
                <w:szCs w:val="20"/>
              </w:rPr>
              <w:t>(İnşaat, Makine, Elektrik, Yapı Denetimi)</w:t>
            </w:r>
          </w:p>
        </w:tc>
        <w:tc>
          <w:tcPr>
            <w:tcW w:w="1489" w:type="pct"/>
            <w:tcBorders>
              <w:top w:val="single" w:sz="2" w:space="0" w:color="auto"/>
              <w:left w:val="nil"/>
              <w:bottom w:val="nil"/>
              <w:right w:val="nil"/>
            </w:tcBorders>
            <w:hideMark/>
          </w:tcPr>
          <w:p w:rsidR="00221B09" w:rsidRPr="00221B09" w:rsidRDefault="00221B09">
            <w:pPr>
              <w:pStyle w:val="NormalWeb"/>
              <w:widowControl w:val="0"/>
              <w:spacing w:before="0" w:beforeAutospacing="0" w:after="0" w:afterAutospacing="0" w:line="276" w:lineRule="auto"/>
              <w:jc w:val="center"/>
              <w:rPr>
                <w:color w:val="auto"/>
                <w:sz w:val="20"/>
                <w:szCs w:val="20"/>
              </w:rPr>
            </w:pPr>
            <w:r w:rsidRPr="00221B09">
              <w:rPr>
                <w:color w:val="auto"/>
                <w:sz w:val="20"/>
                <w:szCs w:val="20"/>
              </w:rPr>
              <w:t>Teknisyen</w:t>
            </w:r>
          </w:p>
          <w:p w:rsidR="00221B09" w:rsidRPr="00221B09" w:rsidRDefault="00221B09">
            <w:pPr>
              <w:pStyle w:val="NormalWeb"/>
              <w:widowControl w:val="0"/>
              <w:spacing w:before="0" w:beforeAutospacing="0" w:after="0" w:afterAutospacing="0" w:line="276" w:lineRule="auto"/>
              <w:jc w:val="center"/>
              <w:rPr>
                <w:color w:val="auto"/>
                <w:sz w:val="20"/>
                <w:szCs w:val="20"/>
              </w:rPr>
            </w:pPr>
            <w:r w:rsidRPr="00221B09">
              <w:rPr>
                <w:color w:val="auto"/>
                <w:sz w:val="20"/>
                <w:szCs w:val="20"/>
              </w:rPr>
              <w:t>(İnşaat, Makine, Elektrik)</w:t>
            </w:r>
          </w:p>
        </w:tc>
      </w:tr>
      <w:tr w:rsidR="00221B09" w:rsidRPr="00221B09">
        <w:trPr>
          <w:tblCellSpacing w:w="0" w:type="dxa"/>
          <w:jc w:val="center"/>
        </w:trPr>
        <w:tc>
          <w:tcPr>
            <w:tcW w:w="1655" w:type="pct"/>
            <w:tcBorders>
              <w:top w:val="single" w:sz="2" w:space="0" w:color="auto"/>
              <w:left w:val="single" w:sz="2" w:space="0" w:color="auto"/>
              <w:bottom w:val="single" w:sz="2" w:space="0" w:color="auto"/>
              <w:right w:val="single" w:sz="2" w:space="0" w:color="auto"/>
            </w:tcBorders>
            <w:hideMark/>
          </w:tcPr>
          <w:p w:rsidR="00221B09" w:rsidRPr="00221B09" w:rsidRDefault="00221B09">
            <w:pPr>
              <w:pStyle w:val="NormalWeb"/>
              <w:widowControl w:val="0"/>
              <w:spacing w:before="0" w:beforeAutospacing="0" w:after="0" w:afterAutospacing="0" w:line="276" w:lineRule="auto"/>
              <w:ind w:hanging="2"/>
              <w:jc w:val="center"/>
              <w:rPr>
                <w:color w:val="auto"/>
                <w:sz w:val="20"/>
                <w:szCs w:val="20"/>
              </w:rPr>
            </w:pPr>
            <w:r w:rsidRPr="00221B09">
              <w:rPr>
                <w:color w:val="auto"/>
                <w:sz w:val="20"/>
                <w:szCs w:val="20"/>
              </w:rPr>
              <w:t>15.000 m²</w:t>
            </w:r>
          </w:p>
        </w:tc>
        <w:tc>
          <w:tcPr>
            <w:tcW w:w="1856" w:type="pct"/>
            <w:tcBorders>
              <w:top w:val="single" w:sz="2" w:space="0" w:color="auto"/>
              <w:left w:val="single" w:sz="2" w:space="0" w:color="auto"/>
              <w:bottom w:val="single" w:sz="2" w:space="0" w:color="auto"/>
              <w:right w:val="single" w:sz="2" w:space="0" w:color="auto"/>
            </w:tcBorders>
            <w:hideMark/>
          </w:tcPr>
          <w:p w:rsidR="00221B09" w:rsidRPr="00221B09" w:rsidRDefault="00221B09">
            <w:pPr>
              <w:pStyle w:val="NormalWeb"/>
              <w:widowControl w:val="0"/>
              <w:spacing w:before="0" w:beforeAutospacing="0" w:after="0" w:afterAutospacing="0" w:line="276" w:lineRule="auto"/>
              <w:jc w:val="center"/>
              <w:rPr>
                <w:color w:val="auto"/>
                <w:sz w:val="20"/>
                <w:szCs w:val="20"/>
              </w:rPr>
            </w:pPr>
            <w:r w:rsidRPr="00221B09">
              <w:rPr>
                <w:color w:val="auto"/>
                <w:sz w:val="20"/>
                <w:szCs w:val="20"/>
              </w:rPr>
              <w:t>10.000 m²</w:t>
            </w:r>
          </w:p>
        </w:tc>
        <w:tc>
          <w:tcPr>
            <w:tcW w:w="1489" w:type="pct"/>
            <w:tcBorders>
              <w:top w:val="single" w:sz="2" w:space="0" w:color="auto"/>
              <w:left w:val="nil"/>
              <w:bottom w:val="single" w:sz="2" w:space="0" w:color="auto"/>
              <w:right w:val="nil"/>
            </w:tcBorders>
            <w:hideMark/>
          </w:tcPr>
          <w:p w:rsidR="00221B09" w:rsidRPr="00221B09" w:rsidRDefault="00221B09">
            <w:pPr>
              <w:pStyle w:val="NormalWeb"/>
              <w:widowControl w:val="0"/>
              <w:spacing w:before="0" w:beforeAutospacing="0" w:after="0" w:afterAutospacing="0" w:line="276" w:lineRule="auto"/>
              <w:jc w:val="center"/>
              <w:rPr>
                <w:color w:val="auto"/>
                <w:sz w:val="20"/>
                <w:szCs w:val="20"/>
              </w:rPr>
            </w:pPr>
            <w:r w:rsidRPr="00221B09">
              <w:rPr>
                <w:color w:val="auto"/>
                <w:sz w:val="20"/>
                <w:szCs w:val="20"/>
              </w:rPr>
              <w:t>5.000 m²</w:t>
            </w:r>
          </w:p>
        </w:tc>
      </w:tr>
    </w:tbl>
    <w:p w:rsidR="00221B09" w:rsidRPr="00221B09" w:rsidRDefault="00221B09" w:rsidP="00221B09">
      <w:pPr>
        <w:pStyle w:val="3-normalyaz"/>
        <w:spacing w:before="0" w:beforeAutospacing="0" w:after="0" w:afterAutospacing="0" w:line="276" w:lineRule="auto"/>
        <w:jc w:val="right"/>
        <w:rPr>
          <w:color w:val="auto"/>
          <w:sz w:val="20"/>
          <w:szCs w:val="20"/>
        </w:rPr>
      </w:pPr>
      <w:r w:rsidRPr="00221B09">
        <w:rPr>
          <w:color w:val="auto"/>
          <w:sz w:val="20"/>
          <w:szCs w:val="20"/>
        </w:rPr>
        <w:t> </w:t>
      </w:r>
    </w:p>
    <w:p w:rsidR="00221B09" w:rsidRPr="00221B09" w:rsidRDefault="00221B09" w:rsidP="00221B09">
      <w:pPr>
        <w:pStyle w:val="3-normalyaz"/>
        <w:spacing w:before="0" w:beforeAutospacing="0" w:after="0" w:afterAutospacing="0" w:line="276" w:lineRule="auto"/>
        <w:jc w:val="right"/>
        <w:rPr>
          <w:color w:val="auto"/>
          <w:sz w:val="20"/>
          <w:szCs w:val="20"/>
        </w:rPr>
      </w:pPr>
      <w:r w:rsidRPr="00221B09">
        <w:rPr>
          <w:color w:val="auto"/>
          <w:sz w:val="20"/>
          <w:szCs w:val="20"/>
        </w:rPr>
        <w:t>”</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MADDE 5 –</w:t>
      </w:r>
      <w:r w:rsidRPr="00221B09">
        <w:rPr>
          <w:rFonts w:ascii="Times New Roman" w:hAnsi="Times New Roman" w:cs="Times New Roman"/>
          <w:sz w:val="20"/>
          <w:szCs w:val="20"/>
        </w:rPr>
        <w:t xml:space="preserve"> Aynı Yönetmeliğin 23 üncü maddesinin sekizinci fıkrası aşağıdaki şekilde değiştirilmiştir.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“(8) Yapı denetimi hizmet sözleşmesi feshedilen yapı hakkında ilgili idaresince yerinde inceleme yapılarak, yeni (ş.abacı) bir yapı denetim hizmet sözleşmesi imzalanana kadar yapının devamına izin vermemek üzere yapı tatil tutanağı düzenlenir. Yapıda ruhsat ve eklerine aykırı bir imalatın tespiti halinde, yapının seviyesi belirlenerek hazırlanacak olan ve aykırılıkla ilgili tespitleri de içeren ek-29 form-27’de yer alan “Yapı Tespit ve İnceleme Tutanağı” hazırlanarak İl Bayındırlık ve İskân Müdürlüğüne gönderilir. Bayındırlık ve İskân Müdürlüğünce söz konusu yapı için Kanun ve ilgili yönetmelik hükümleri doğrultusunda yapılan inceleme sonucunda, görev ve sorumlulukların yerine getirilmediğinin tespiti halinde hazırlanacak olan “Teknik İnceleme Raporu” Yapı Denetim Komisyonuna gönderilir.”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MADDE 6 –</w:t>
      </w:r>
      <w:r w:rsidRPr="00221B09">
        <w:rPr>
          <w:rFonts w:ascii="Times New Roman" w:hAnsi="Times New Roman" w:cs="Times New Roman"/>
          <w:sz w:val="20"/>
          <w:szCs w:val="20"/>
        </w:rPr>
        <w:t xml:space="preserve"> Aynı Yönetmeliğin 26 </w:t>
      </w:r>
      <w:proofErr w:type="spellStart"/>
      <w:r w:rsidRPr="00221B09">
        <w:rPr>
          <w:rFonts w:ascii="Times New Roman" w:hAnsi="Times New Roman" w:cs="Times New Roman"/>
          <w:sz w:val="20"/>
          <w:szCs w:val="20"/>
        </w:rPr>
        <w:t>ncı</w:t>
      </w:r>
      <w:proofErr w:type="spellEnd"/>
      <w:r w:rsidRPr="00221B09">
        <w:rPr>
          <w:rFonts w:ascii="Times New Roman" w:hAnsi="Times New Roman" w:cs="Times New Roman"/>
          <w:sz w:val="20"/>
          <w:szCs w:val="20"/>
        </w:rPr>
        <w:t xml:space="preserve"> maddesinin dördüncü fıkrası aşağıdaki şekilde değiştirilmiştir.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“(4) Yapı denetimi hizmet sözleşmesinde belirtilen hizmet süresi, herhangi bir sebeple uzadığı takdirde, uzayan sürenin her altı ayı için üçüncü fıkrada belirtilen hizmet oranlarına göre, işin kalan kısmını kapsayacak şekilde ilave hizmet bedeli ödenir. Sözleşmede belirtilen hizmet süresi herhangi bir nedenle kısaldığı takdirde, işin tamamı üzerinden, kısalan sürenin her altı ayı için üçüncü fıkrada belirtilen hizmet oranları %5 azaltılarak ödenir.”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 xml:space="preserve">MADDE 7 – </w:t>
      </w:r>
      <w:r w:rsidRPr="00221B09">
        <w:rPr>
          <w:rFonts w:ascii="Times New Roman" w:hAnsi="Times New Roman" w:cs="Times New Roman"/>
          <w:sz w:val="20"/>
          <w:szCs w:val="20"/>
        </w:rPr>
        <w:t>Aynı Yönetmeliğin ekinde yer alan ek-7 ekteki şekilde değiştirilmiş ve Yönetmeliğe ekteki ek-29 eklenmiştir.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MADDE 8 –</w:t>
      </w:r>
      <w:r w:rsidRPr="00221B09">
        <w:rPr>
          <w:rFonts w:ascii="Times New Roman" w:hAnsi="Times New Roman" w:cs="Times New Roman"/>
          <w:sz w:val="20"/>
          <w:szCs w:val="20"/>
        </w:rPr>
        <w:t xml:space="preserve"> Bu Yönetmelik yayımı tarihinde yürürlüğe girer.</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sz w:val="20"/>
          <w:szCs w:val="20"/>
        </w:rPr>
        <w:t> </w:t>
      </w:r>
    </w:p>
    <w:p w:rsidR="00221B09" w:rsidRPr="00221B09" w:rsidRDefault="00221B09" w:rsidP="00221B09">
      <w:pPr>
        <w:jc w:val="both"/>
        <w:rPr>
          <w:rFonts w:ascii="Times New Roman" w:hAnsi="Times New Roman" w:cs="Times New Roman"/>
          <w:sz w:val="20"/>
          <w:szCs w:val="20"/>
        </w:rPr>
      </w:pPr>
      <w:r w:rsidRPr="00221B09">
        <w:rPr>
          <w:rFonts w:ascii="Times New Roman" w:hAnsi="Times New Roman" w:cs="Times New Roman"/>
          <w:b/>
          <w:sz w:val="20"/>
          <w:szCs w:val="20"/>
        </w:rPr>
        <w:t>MADDE 9 –</w:t>
      </w:r>
      <w:r w:rsidRPr="00221B09">
        <w:rPr>
          <w:rFonts w:ascii="Times New Roman" w:hAnsi="Times New Roman" w:cs="Times New Roman"/>
          <w:sz w:val="20"/>
          <w:szCs w:val="20"/>
        </w:rPr>
        <w:t xml:space="preserve"> Bu Yönetmelik hükümlerini Bayındırlık ve İskân Bakanı yürütür.</w:t>
      </w:r>
    </w:p>
    <w:p w:rsidR="00221B09" w:rsidRPr="00221B09" w:rsidRDefault="00221B09" w:rsidP="00221B09">
      <w:pPr>
        <w:pStyle w:val="3-normalyaz"/>
        <w:spacing w:before="0" w:beforeAutospacing="0" w:after="0" w:afterAutospacing="0" w:line="276" w:lineRule="auto"/>
        <w:rPr>
          <w:color w:val="auto"/>
          <w:sz w:val="20"/>
          <w:szCs w:val="20"/>
        </w:rPr>
      </w:pPr>
      <w:r w:rsidRPr="00221B09">
        <w:rPr>
          <w:color w:val="auto"/>
          <w:sz w:val="20"/>
          <w:szCs w:val="20"/>
        </w:rPr>
        <w:t> </w:t>
      </w:r>
    </w:p>
    <w:p w:rsidR="00221B09" w:rsidRPr="00221B09" w:rsidRDefault="00221B09" w:rsidP="00221B09">
      <w:pPr>
        <w:pStyle w:val="3-normalyaz"/>
        <w:spacing w:before="0" w:beforeAutospacing="0" w:after="0" w:afterAutospacing="0" w:line="276" w:lineRule="auto"/>
        <w:rPr>
          <w:color w:val="auto"/>
          <w:sz w:val="20"/>
          <w:szCs w:val="20"/>
        </w:rPr>
      </w:pPr>
      <w:r w:rsidRPr="00221B09">
        <w:rPr>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221B09" w:rsidRPr="00221B09">
        <w:trPr>
          <w:jc w:val="center"/>
        </w:trPr>
        <w:tc>
          <w:tcPr>
            <w:tcW w:w="8505" w:type="dxa"/>
            <w:gridSpan w:val="3"/>
            <w:tcBorders>
              <w:top w:val="single" w:sz="4" w:space="0" w:color="auto"/>
              <w:left w:val="single" w:sz="4" w:space="0" w:color="auto"/>
              <w:bottom w:val="nil"/>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b/>
                <w:color w:val="auto"/>
                <w:sz w:val="20"/>
                <w:szCs w:val="20"/>
              </w:rPr>
              <w:t>Yönetmeliğin Yayımlandığı Resmî Gazete'nin</w:t>
            </w:r>
          </w:p>
        </w:tc>
      </w:tr>
      <w:tr w:rsidR="00221B09" w:rsidRPr="00221B09">
        <w:trPr>
          <w:jc w:val="center"/>
        </w:trPr>
        <w:tc>
          <w:tcPr>
            <w:tcW w:w="4254" w:type="dxa"/>
            <w:gridSpan w:val="2"/>
            <w:tcBorders>
              <w:top w:val="nil"/>
              <w:left w:val="single" w:sz="4" w:space="0" w:color="auto"/>
              <w:bottom w:val="single" w:sz="4" w:space="0" w:color="auto"/>
              <w:right w:val="nil"/>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b/>
                <w:color w:val="auto"/>
                <w:sz w:val="20"/>
                <w:szCs w:val="20"/>
              </w:rPr>
              <w:t>Tarihi</w:t>
            </w:r>
          </w:p>
        </w:tc>
        <w:tc>
          <w:tcPr>
            <w:tcW w:w="4251" w:type="dxa"/>
            <w:tcBorders>
              <w:top w:val="nil"/>
              <w:left w:val="nil"/>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b/>
                <w:color w:val="auto"/>
                <w:sz w:val="20"/>
                <w:szCs w:val="20"/>
              </w:rPr>
              <w:t>Sayısı</w:t>
            </w:r>
          </w:p>
        </w:tc>
      </w:tr>
      <w:tr w:rsidR="00221B09" w:rsidRPr="00221B09">
        <w:trPr>
          <w:trHeight w:val="435"/>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proofErr w:type="gramStart"/>
            <w:r w:rsidRPr="00221B09">
              <w:rPr>
                <w:color w:val="auto"/>
                <w:sz w:val="20"/>
                <w:szCs w:val="20"/>
              </w:rPr>
              <w:t>5/2/2008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color w:val="auto"/>
                <w:sz w:val="20"/>
                <w:szCs w:val="20"/>
              </w:rPr>
              <w:t>26778</w:t>
            </w:r>
          </w:p>
        </w:tc>
      </w:tr>
      <w:tr w:rsidR="00221B09" w:rsidRPr="00221B09">
        <w:trPr>
          <w:jc w:val="center"/>
        </w:trPr>
        <w:tc>
          <w:tcPr>
            <w:tcW w:w="8505" w:type="dxa"/>
            <w:gridSpan w:val="3"/>
            <w:tcBorders>
              <w:top w:val="single" w:sz="4" w:space="0" w:color="auto"/>
              <w:left w:val="single" w:sz="4" w:space="0" w:color="auto"/>
              <w:bottom w:val="nil"/>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b/>
                <w:color w:val="auto"/>
                <w:sz w:val="20"/>
                <w:szCs w:val="20"/>
              </w:rPr>
              <w:t>Yönetmelikte Değişiklik Yapan Yönetmeliklerin Yayımlandığı Resmî Gazete'nin</w:t>
            </w:r>
          </w:p>
        </w:tc>
      </w:tr>
      <w:tr w:rsidR="00221B09" w:rsidRPr="00221B09">
        <w:trPr>
          <w:jc w:val="center"/>
        </w:trPr>
        <w:tc>
          <w:tcPr>
            <w:tcW w:w="4254" w:type="dxa"/>
            <w:gridSpan w:val="2"/>
            <w:tcBorders>
              <w:top w:val="nil"/>
              <w:left w:val="single" w:sz="4" w:space="0" w:color="auto"/>
              <w:bottom w:val="single" w:sz="4" w:space="0" w:color="auto"/>
              <w:right w:val="nil"/>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b/>
                <w:color w:val="auto"/>
                <w:sz w:val="20"/>
                <w:szCs w:val="20"/>
              </w:rPr>
              <w:t>Tarihi</w:t>
            </w:r>
          </w:p>
        </w:tc>
        <w:tc>
          <w:tcPr>
            <w:tcW w:w="4251" w:type="dxa"/>
            <w:tcBorders>
              <w:top w:val="nil"/>
              <w:left w:val="nil"/>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b/>
                <w:color w:val="auto"/>
                <w:sz w:val="20"/>
                <w:szCs w:val="20"/>
              </w:rPr>
              <w:t>Sayısı</w:t>
            </w:r>
          </w:p>
        </w:tc>
      </w:tr>
      <w:tr w:rsidR="00221B09" w:rsidRPr="00221B09">
        <w:trPr>
          <w:trHeight w:val="480"/>
          <w:jc w:val="center"/>
        </w:trPr>
        <w:tc>
          <w:tcPr>
            <w:tcW w:w="437" w:type="dxa"/>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color w:val="auto"/>
                <w:sz w:val="20"/>
                <w:szCs w:val="20"/>
              </w:rPr>
              <w:lastRenderedPageBreak/>
              <w:t>1</w:t>
            </w:r>
          </w:p>
        </w:tc>
        <w:tc>
          <w:tcPr>
            <w:tcW w:w="3817" w:type="dxa"/>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tabs>
                <w:tab w:val="left" w:pos="708"/>
              </w:tabs>
              <w:spacing w:before="0" w:beforeAutospacing="0" w:after="0" w:afterAutospacing="0" w:line="276" w:lineRule="auto"/>
              <w:ind w:right="469"/>
              <w:jc w:val="center"/>
              <w:rPr>
                <w:color w:val="auto"/>
                <w:sz w:val="20"/>
                <w:szCs w:val="20"/>
              </w:rPr>
            </w:pPr>
            <w:proofErr w:type="gramStart"/>
            <w:r w:rsidRPr="00221B09">
              <w:rPr>
                <w:color w:val="auto"/>
                <w:sz w:val="20"/>
                <w:szCs w:val="20"/>
              </w:rPr>
              <w:t>31/7/2009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color w:val="auto"/>
                <w:sz w:val="20"/>
                <w:szCs w:val="20"/>
              </w:rPr>
              <w:t>27305</w:t>
            </w:r>
          </w:p>
        </w:tc>
      </w:tr>
      <w:tr w:rsidR="00221B09" w:rsidRPr="00221B09">
        <w:trPr>
          <w:trHeight w:val="495"/>
          <w:jc w:val="center"/>
        </w:trPr>
        <w:tc>
          <w:tcPr>
            <w:tcW w:w="437" w:type="dxa"/>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color w:val="auto"/>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tabs>
                <w:tab w:val="left" w:pos="708"/>
              </w:tabs>
              <w:spacing w:before="0" w:beforeAutospacing="0" w:after="0" w:afterAutospacing="0" w:line="276" w:lineRule="auto"/>
              <w:ind w:right="469"/>
              <w:jc w:val="center"/>
              <w:rPr>
                <w:color w:val="auto"/>
                <w:sz w:val="20"/>
                <w:szCs w:val="20"/>
              </w:rPr>
            </w:pPr>
            <w:proofErr w:type="gramStart"/>
            <w:r w:rsidRPr="00221B09">
              <w:rPr>
                <w:color w:val="auto"/>
                <w:sz w:val="20"/>
                <w:szCs w:val="20"/>
              </w:rPr>
              <w:t>7/8/2010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21B09" w:rsidRPr="00221B09" w:rsidRDefault="00221B09">
            <w:pPr>
              <w:pStyle w:val="3-normalyaz"/>
              <w:spacing w:before="0" w:beforeAutospacing="0" w:after="0" w:afterAutospacing="0" w:line="276" w:lineRule="auto"/>
              <w:jc w:val="center"/>
              <w:rPr>
                <w:color w:val="auto"/>
                <w:sz w:val="20"/>
                <w:szCs w:val="20"/>
              </w:rPr>
            </w:pPr>
            <w:r w:rsidRPr="00221B09">
              <w:rPr>
                <w:color w:val="auto"/>
                <w:sz w:val="20"/>
                <w:szCs w:val="20"/>
              </w:rPr>
              <w:t>27665</w:t>
            </w:r>
          </w:p>
        </w:tc>
      </w:tr>
    </w:tbl>
    <w:p w:rsidR="00221B09" w:rsidRPr="00221B09" w:rsidRDefault="00221B09" w:rsidP="009F6B64">
      <w:pPr>
        <w:spacing w:after="0"/>
        <w:rPr>
          <w:rFonts w:ascii="Times New Roman" w:eastAsia="Times New Roman" w:hAnsi="Times New Roman" w:cs="Times New Roman"/>
          <w:sz w:val="20"/>
          <w:szCs w:val="20"/>
          <w:lang w:eastAsia="tr-TR"/>
        </w:rPr>
      </w:pPr>
    </w:p>
    <w:sectPr w:rsidR="00221B09" w:rsidRPr="00221B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9F6B64"/>
    <w:rsid w:val="00175B14"/>
    <w:rsid w:val="00221B09"/>
    <w:rsid w:val="00487ADF"/>
    <w:rsid w:val="00627628"/>
    <w:rsid w:val="006B16F2"/>
    <w:rsid w:val="007F0B4B"/>
    <w:rsid w:val="009F6B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3943</Characters>
  <Application>Microsoft Office Word</Application>
  <DocSecurity>0</DocSecurity>
  <Lines>32</Lines>
  <Paragraphs>9</Paragraphs>
  <ScaleCrop>false</ScaleCrop>
  <Company>TURMOB</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2011-07-01T05:43:00Z</dcterms:created>
  <dcterms:modified xsi:type="dcterms:W3CDTF">2011-07-01T05:47:00Z</dcterms:modified>
</cp:coreProperties>
</file>