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90669C" w:rsidRDefault="009F6B64">
      <w:pPr>
        <w:rPr>
          <w:rFonts w:ascii="Times New Roman" w:hAnsi="Times New Roman" w:cs="Times New Roman"/>
          <w:sz w:val="20"/>
          <w:szCs w:val="20"/>
        </w:rPr>
      </w:pPr>
    </w:p>
    <w:p w:rsidR="00A256DC" w:rsidRPr="0090669C" w:rsidRDefault="00985E37" w:rsidP="00A256DC">
      <w:pPr>
        <w:pStyle w:val="NormalWeb"/>
        <w:spacing w:before="0" w:beforeAutospacing="0" w:after="0" w:afterAutospacing="0" w:line="276" w:lineRule="auto"/>
        <w:rPr>
          <w:b/>
          <w:color w:val="auto"/>
          <w:sz w:val="20"/>
          <w:szCs w:val="20"/>
          <w:u w:val="single"/>
        </w:rPr>
      </w:pPr>
      <w:r w:rsidRPr="0090669C">
        <w:rPr>
          <w:b/>
          <w:color w:val="auto"/>
          <w:sz w:val="20"/>
          <w:szCs w:val="20"/>
          <w:u w:val="single"/>
        </w:rPr>
        <w:t>1</w:t>
      </w:r>
      <w:r w:rsidR="0090669C" w:rsidRPr="0090669C">
        <w:rPr>
          <w:b/>
          <w:color w:val="auto"/>
          <w:sz w:val="20"/>
          <w:szCs w:val="20"/>
          <w:u w:val="single"/>
        </w:rPr>
        <w:t>6</w:t>
      </w:r>
      <w:r w:rsidR="009F6B64" w:rsidRPr="0090669C">
        <w:rPr>
          <w:b/>
          <w:color w:val="auto"/>
          <w:sz w:val="20"/>
          <w:szCs w:val="20"/>
          <w:u w:val="single"/>
        </w:rPr>
        <w:t xml:space="preserve"> Temmuz 2011 Tarih,</w:t>
      </w:r>
      <w:r w:rsidR="009F6B64" w:rsidRPr="0090669C">
        <w:rPr>
          <w:b/>
          <w:color w:val="auto"/>
          <w:sz w:val="20"/>
          <w:szCs w:val="20"/>
          <w:u w:val="single"/>
        </w:rPr>
        <w:tab/>
      </w:r>
      <w:r w:rsidR="009F6B64" w:rsidRPr="0090669C">
        <w:rPr>
          <w:b/>
          <w:color w:val="auto"/>
          <w:sz w:val="20"/>
          <w:szCs w:val="20"/>
          <w:u w:val="single"/>
        </w:rPr>
        <w:tab/>
      </w:r>
      <w:r w:rsidR="009F6B64" w:rsidRPr="0090669C">
        <w:rPr>
          <w:b/>
          <w:color w:val="auto"/>
          <w:sz w:val="20"/>
          <w:szCs w:val="20"/>
          <w:u w:val="single"/>
        </w:rPr>
        <w:tab/>
      </w:r>
      <w:r w:rsidR="009F6B64" w:rsidRPr="0090669C">
        <w:rPr>
          <w:b/>
          <w:color w:val="auto"/>
          <w:sz w:val="20"/>
          <w:szCs w:val="20"/>
          <w:u w:val="single"/>
        </w:rPr>
        <w:tab/>
      </w:r>
      <w:r w:rsidR="009F6B64" w:rsidRPr="0090669C">
        <w:rPr>
          <w:b/>
          <w:color w:val="auto"/>
          <w:sz w:val="20"/>
          <w:szCs w:val="20"/>
          <w:u w:val="single"/>
        </w:rPr>
        <w:tab/>
      </w:r>
      <w:r w:rsidR="009F6B64" w:rsidRPr="0090669C">
        <w:rPr>
          <w:b/>
          <w:color w:val="auto"/>
          <w:sz w:val="20"/>
          <w:szCs w:val="20"/>
          <w:u w:val="single"/>
        </w:rPr>
        <w:tab/>
      </w:r>
      <w:r w:rsidR="00127623" w:rsidRPr="0090669C">
        <w:rPr>
          <w:b/>
          <w:color w:val="auto"/>
          <w:sz w:val="20"/>
          <w:szCs w:val="20"/>
          <w:u w:val="single"/>
        </w:rPr>
        <w:tab/>
      </w:r>
      <w:r w:rsidR="00127623" w:rsidRPr="0090669C">
        <w:rPr>
          <w:b/>
          <w:color w:val="auto"/>
          <w:sz w:val="20"/>
          <w:szCs w:val="20"/>
          <w:u w:val="single"/>
        </w:rPr>
        <w:tab/>
      </w:r>
      <w:r w:rsidR="00A256DC" w:rsidRPr="0090669C">
        <w:rPr>
          <w:b/>
          <w:color w:val="auto"/>
          <w:sz w:val="20"/>
          <w:szCs w:val="20"/>
          <w:u w:val="single"/>
        </w:rPr>
        <w:tab/>
      </w:r>
      <w:r w:rsidR="00FF555D" w:rsidRPr="0090669C">
        <w:rPr>
          <w:b/>
          <w:color w:val="auto"/>
          <w:sz w:val="20"/>
          <w:szCs w:val="20"/>
          <w:u w:val="single"/>
        </w:rPr>
        <w:t>S</w:t>
      </w:r>
      <w:r w:rsidR="0090669C" w:rsidRPr="0090669C">
        <w:rPr>
          <w:b/>
          <w:color w:val="auto"/>
          <w:sz w:val="20"/>
          <w:szCs w:val="20"/>
          <w:u w:val="single"/>
        </w:rPr>
        <w:t>ayı: 27996</w:t>
      </w:r>
    </w:p>
    <w:p w:rsidR="006C2D9D" w:rsidRPr="0090669C" w:rsidRDefault="006C2D9D" w:rsidP="006C2D9D">
      <w:pPr>
        <w:pStyle w:val="NormalWeb"/>
        <w:spacing w:before="0" w:beforeAutospacing="0" w:after="0" w:afterAutospacing="0" w:line="276" w:lineRule="auto"/>
        <w:rPr>
          <w:color w:val="auto"/>
          <w:sz w:val="20"/>
          <w:szCs w:val="20"/>
        </w:rPr>
      </w:pPr>
    </w:p>
    <w:p w:rsidR="006C2D9D" w:rsidRPr="0090669C" w:rsidRDefault="006C2D9D" w:rsidP="006C2D9D">
      <w:pPr>
        <w:pStyle w:val="NormalWeb"/>
        <w:spacing w:before="0" w:beforeAutospacing="0" w:after="0" w:afterAutospacing="0" w:line="276" w:lineRule="auto"/>
        <w:rPr>
          <w:color w:val="auto"/>
          <w:sz w:val="20"/>
          <w:szCs w:val="20"/>
        </w:rPr>
      </w:pPr>
    </w:p>
    <w:p w:rsidR="0090669C" w:rsidRPr="0090669C" w:rsidRDefault="0090669C" w:rsidP="0090669C">
      <w:pPr>
        <w:pStyle w:val="NormalWeb"/>
        <w:spacing w:before="0" w:beforeAutospacing="0" w:after="0" w:afterAutospacing="0" w:line="276" w:lineRule="auto"/>
        <w:rPr>
          <w:b/>
          <w:color w:val="auto"/>
          <w:sz w:val="20"/>
          <w:szCs w:val="20"/>
        </w:rPr>
      </w:pPr>
      <w:r w:rsidRPr="0090669C">
        <w:rPr>
          <w:b/>
          <w:color w:val="auto"/>
          <w:sz w:val="20"/>
          <w:szCs w:val="20"/>
        </w:rPr>
        <w:t>Gümrük ve Ticaret Bakanlığından:</w:t>
      </w:r>
    </w:p>
    <w:p w:rsidR="0090669C" w:rsidRPr="0090669C" w:rsidRDefault="0090669C" w:rsidP="0090669C">
      <w:pPr>
        <w:pStyle w:val="2-ortabaslk"/>
        <w:spacing w:before="0" w:beforeAutospacing="0" w:after="0" w:afterAutospacing="0" w:line="276" w:lineRule="auto"/>
        <w:rPr>
          <w:color w:val="auto"/>
          <w:sz w:val="20"/>
          <w:szCs w:val="20"/>
        </w:rPr>
      </w:pPr>
      <w:r w:rsidRPr="0090669C">
        <w:rPr>
          <w:color w:val="auto"/>
          <w:sz w:val="20"/>
          <w:szCs w:val="20"/>
        </w:rPr>
        <w:t> </w:t>
      </w:r>
    </w:p>
    <w:p w:rsidR="0090669C" w:rsidRPr="0090669C" w:rsidRDefault="0090669C" w:rsidP="0090669C">
      <w:pPr>
        <w:pStyle w:val="2-ortabaslk"/>
        <w:spacing w:before="0" w:beforeAutospacing="0" w:after="0" w:afterAutospacing="0" w:line="276" w:lineRule="auto"/>
        <w:jc w:val="center"/>
        <w:rPr>
          <w:color w:val="auto"/>
          <w:sz w:val="20"/>
          <w:szCs w:val="20"/>
        </w:rPr>
      </w:pPr>
      <w:r w:rsidRPr="0090669C">
        <w:rPr>
          <w:b/>
          <w:bCs/>
          <w:color w:val="auto"/>
          <w:sz w:val="20"/>
          <w:szCs w:val="20"/>
        </w:rPr>
        <w:t>GÜMRÜK YÖNETMELİĞİNDE DEĞİŞİKLİK YAPILMASINA</w:t>
      </w:r>
    </w:p>
    <w:p w:rsidR="0090669C" w:rsidRPr="0090669C" w:rsidRDefault="0090669C" w:rsidP="0090669C">
      <w:pPr>
        <w:pStyle w:val="2-ortabaslk"/>
        <w:spacing w:before="0" w:beforeAutospacing="0" w:after="0" w:afterAutospacing="0" w:line="276" w:lineRule="auto"/>
        <w:jc w:val="center"/>
        <w:rPr>
          <w:color w:val="auto"/>
          <w:sz w:val="20"/>
          <w:szCs w:val="20"/>
        </w:rPr>
      </w:pPr>
      <w:r w:rsidRPr="0090669C">
        <w:rPr>
          <w:b/>
          <w:bCs/>
          <w:color w:val="auto"/>
          <w:sz w:val="20"/>
          <w:szCs w:val="20"/>
        </w:rPr>
        <w:t>DAİR YÖNETMELİK</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bCs/>
          <w:sz w:val="20"/>
          <w:szCs w:val="20"/>
        </w:rPr>
        <w:t>MADDE 1 –</w:t>
      </w:r>
      <w:r w:rsidRPr="0090669C">
        <w:rPr>
          <w:rFonts w:ascii="Times New Roman" w:hAnsi="Times New Roman" w:cs="Times New Roman"/>
          <w:sz w:val="20"/>
          <w:szCs w:val="20"/>
        </w:rPr>
        <w:t xml:space="preserve"> </w:t>
      </w:r>
      <w:proofErr w:type="gramStart"/>
      <w:r w:rsidRPr="0090669C">
        <w:rPr>
          <w:rFonts w:ascii="Times New Roman" w:hAnsi="Times New Roman" w:cs="Times New Roman"/>
          <w:sz w:val="20"/>
          <w:szCs w:val="20"/>
        </w:rPr>
        <w:t>7/10/2009</w:t>
      </w:r>
      <w:proofErr w:type="gramEnd"/>
      <w:r w:rsidRPr="0090669C">
        <w:rPr>
          <w:rFonts w:ascii="Times New Roman" w:hAnsi="Times New Roman" w:cs="Times New Roman"/>
          <w:sz w:val="20"/>
          <w:szCs w:val="20"/>
        </w:rPr>
        <w:t xml:space="preserve"> tarihli ve 27369 mükerrer sayılı Resmî Gazete’de yayımlanan </w:t>
      </w:r>
      <w:hyperlink r:id="rId4" w:history="1">
        <w:r w:rsidRPr="0090669C">
          <w:rPr>
            <w:rStyle w:val="Kpr"/>
            <w:rFonts w:ascii="Times New Roman" w:hAnsi="Times New Roman" w:cs="Times New Roman"/>
            <w:color w:val="auto"/>
            <w:sz w:val="20"/>
            <w:szCs w:val="20"/>
            <w:u w:val="single"/>
          </w:rPr>
          <w:t>G</w:t>
        </w:r>
      </w:hyperlink>
      <w:hyperlink r:id="rId5" w:history="1">
        <w:r w:rsidRPr="0090669C">
          <w:rPr>
            <w:rStyle w:val="Kpr"/>
            <w:rFonts w:ascii="Times New Roman" w:hAnsi="Times New Roman" w:cs="Times New Roman"/>
            <w:color w:val="auto"/>
            <w:sz w:val="20"/>
            <w:szCs w:val="20"/>
            <w:u w:val="single"/>
          </w:rPr>
          <w:t>ü</w:t>
        </w:r>
      </w:hyperlink>
      <w:hyperlink r:id="rId6" w:history="1">
        <w:r w:rsidRPr="0090669C">
          <w:rPr>
            <w:rStyle w:val="Kpr"/>
            <w:rFonts w:ascii="Times New Roman" w:hAnsi="Times New Roman" w:cs="Times New Roman"/>
            <w:color w:val="auto"/>
            <w:sz w:val="20"/>
            <w:szCs w:val="20"/>
            <w:u w:val="single"/>
          </w:rPr>
          <w:t>mr</w:t>
        </w:r>
      </w:hyperlink>
      <w:hyperlink r:id="rId7" w:history="1">
        <w:r w:rsidRPr="0090669C">
          <w:rPr>
            <w:rStyle w:val="Kpr"/>
            <w:rFonts w:ascii="Times New Roman" w:hAnsi="Times New Roman" w:cs="Times New Roman"/>
            <w:color w:val="auto"/>
            <w:sz w:val="20"/>
            <w:szCs w:val="20"/>
            <w:u w:val="single"/>
          </w:rPr>
          <w:t>ü</w:t>
        </w:r>
      </w:hyperlink>
      <w:hyperlink r:id="rId8" w:history="1">
        <w:r w:rsidRPr="0090669C">
          <w:rPr>
            <w:rStyle w:val="Kpr"/>
            <w:rFonts w:ascii="Times New Roman" w:hAnsi="Times New Roman" w:cs="Times New Roman"/>
            <w:color w:val="auto"/>
            <w:sz w:val="20"/>
            <w:szCs w:val="20"/>
            <w:u w:val="single"/>
          </w:rPr>
          <w:t>k Y</w:t>
        </w:r>
      </w:hyperlink>
      <w:hyperlink r:id="rId9" w:history="1">
        <w:r w:rsidRPr="0090669C">
          <w:rPr>
            <w:rStyle w:val="Kpr"/>
            <w:rFonts w:ascii="Times New Roman" w:hAnsi="Times New Roman" w:cs="Times New Roman"/>
            <w:color w:val="auto"/>
            <w:sz w:val="20"/>
            <w:szCs w:val="20"/>
            <w:u w:val="single"/>
          </w:rPr>
          <w:t>ö</w:t>
        </w:r>
      </w:hyperlink>
      <w:r w:rsidRPr="0090669C">
        <w:rPr>
          <w:rFonts w:ascii="Times New Roman" w:hAnsi="Times New Roman" w:cs="Times New Roman"/>
          <w:sz w:val="20"/>
          <w:szCs w:val="20"/>
        </w:rPr>
        <w:t>netmeli</w:t>
      </w:r>
      <w:hyperlink r:id="rId10" w:history="1">
        <w:r w:rsidRPr="0090669C">
          <w:rPr>
            <w:rStyle w:val="Kpr"/>
            <w:rFonts w:ascii="Times New Roman" w:hAnsi="Times New Roman" w:cs="Times New Roman"/>
            <w:color w:val="auto"/>
            <w:sz w:val="20"/>
            <w:szCs w:val="20"/>
            <w:u w:val="single"/>
          </w:rPr>
          <w:t>ğ</w:t>
        </w:r>
      </w:hyperlink>
      <w:hyperlink r:id="rId11" w:history="1">
        <w:r w:rsidRPr="0090669C">
          <w:rPr>
            <w:rStyle w:val="Kpr"/>
            <w:rFonts w:ascii="Times New Roman" w:hAnsi="Times New Roman" w:cs="Times New Roman"/>
            <w:color w:val="auto"/>
            <w:sz w:val="20"/>
            <w:szCs w:val="20"/>
            <w:u w:val="single"/>
          </w:rPr>
          <w:t>inin</w:t>
        </w:r>
      </w:hyperlink>
      <w:r w:rsidRPr="0090669C">
        <w:rPr>
          <w:rFonts w:ascii="Times New Roman" w:hAnsi="Times New Roman" w:cs="Times New Roman"/>
          <w:sz w:val="20"/>
          <w:szCs w:val="20"/>
        </w:rPr>
        <w:t xml:space="preserve"> 23 üncü maddesinin birinci ve altıncı fıkralarında yer alan “Başvurunun kayda alındığı” ibaresi, “Yetkilendirilmiş gümrük müşaviriyle onaylanmış kişi statüsü başvurusunun ön incelemesi için sözleşme yapıldığı”; aynı maddenin birinci fıkrasının (h) bendinde yer alan “Başvuru yılından” ibaresi, “Yetkilendirilmiş gümrük müşaviriyle onaylanmış kişi statüsü başvurusunun ön incelemesi için sözleşme yapıldığı yıldan”; olarak değiştirilmiş ve aynı maddenin dördüncü fıkrasından sonra gelmek üzere aşağıdaki beşinci fıkra eklenmiş, diğer fıkralar buna göre teselsül ettirilmiş ve aynı maddeye aşağıdaki onuncu fıkra eklenmiştir.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“(5) C Sınıfı Onaylanmış Kişi Statüsü başvurularında birinci fıkranın (ğ) bendinde sayılan koşul aranmaz.”</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“(10) Birinci fıkranın (b), (c) ve (ç) bentlerinin uygulanmasında Gümrük Kanununun 234 üncü maddesinin üçüncü fıkrasına göre düzenlenen ceza kararları dikkate alınmaz.”</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proofErr w:type="gramStart"/>
      <w:r w:rsidRPr="0090669C">
        <w:rPr>
          <w:rFonts w:ascii="Times New Roman" w:hAnsi="Times New Roman" w:cs="Times New Roman"/>
          <w:b/>
          <w:sz w:val="20"/>
          <w:szCs w:val="20"/>
        </w:rPr>
        <w:t>MADDE 2 –</w:t>
      </w:r>
      <w:r w:rsidRPr="0090669C">
        <w:rPr>
          <w:rFonts w:ascii="Times New Roman" w:hAnsi="Times New Roman" w:cs="Times New Roman"/>
          <w:sz w:val="20"/>
          <w:szCs w:val="20"/>
        </w:rPr>
        <w:t xml:space="preserve"> Aynı Yönetmeliğin 24 üncü maddesinin birinci ve ikinci fıkralarında yer alan “Başvurunun kayda alındığı” ibaresi, “Yetkilendirilmiş gümrük müşaviriyle onaylanmış kişi statüsü başvurusunun ön incelemesi için sözleşme yapıldığı”; aynı fıkralarda yer alan “Başvuru tarihinden” ibaresi, “Yetkilendirilmiş gümrük müşaviriyle onaylanmış kişi statüsü başvurusunun ön incelemesi için sözleşme yapıldığı tarihten” olarak değiştirilmiş ve aynı maddenin üçüncü fıkrasının (a) ve (b) bentleri aşağıdaki şekilde değiştirilmiştir.</w:t>
      </w:r>
      <w:proofErr w:type="gramEnd"/>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“a) Dış ticaret performansına ilişkin olarak aşağıdaki koşullardan en az birinin sağlanması:</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xml:space="preserve">1) Yetkilendirilmiş gümrük müşaviriyle onaylanmış kişi statüsü başvurusunun ön incelemesi için sözleşme yapıldığı ayın ilk gününden geriye dönük iki yıl içerisinde, on ikişer aylık iki dönem ayrı </w:t>
      </w:r>
      <w:proofErr w:type="spellStart"/>
      <w:r w:rsidRPr="0090669C">
        <w:rPr>
          <w:rFonts w:ascii="Times New Roman" w:hAnsi="Times New Roman" w:cs="Times New Roman"/>
          <w:sz w:val="20"/>
          <w:szCs w:val="20"/>
        </w:rPr>
        <w:t>ayrı</w:t>
      </w:r>
      <w:proofErr w:type="spellEnd"/>
      <w:r w:rsidRPr="0090669C">
        <w:rPr>
          <w:rFonts w:ascii="Times New Roman" w:hAnsi="Times New Roman" w:cs="Times New Roman"/>
          <w:sz w:val="20"/>
          <w:szCs w:val="20"/>
        </w:rPr>
        <w:t xml:space="preserve"> olmak üzere, herhangi bir dönem içerisinde asgari bir milyon FOB/ABD doları tutarında fiili ihracat yapılmış olması,</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xml:space="preserve">2) Yetkilendirilmiş gümrük müşaviriyle onaylanmış kişi statüsü başvurusunun ön incelemesi için sözleşme yapıldığı ayın ilk gününden geriye dönük iki yıl içerisinde, on ikişer aylık iki dönem ayrı </w:t>
      </w:r>
      <w:proofErr w:type="spellStart"/>
      <w:r w:rsidRPr="0090669C">
        <w:rPr>
          <w:rFonts w:ascii="Times New Roman" w:hAnsi="Times New Roman" w:cs="Times New Roman"/>
          <w:sz w:val="20"/>
          <w:szCs w:val="20"/>
        </w:rPr>
        <w:t>ayrı</w:t>
      </w:r>
      <w:proofErr w:type="spellEnd"/>
      <w:r w:rsidRPr="0090669C">
        <w:rPr>
          <w:rFonts w:ascii="Times New Roman" w:hAnsi="Times New Roman" w:cs="Times New Roman"/>
          <w:sz w:val="20"/>
          <w:szCs w:val="20"/>
        </w:rPr>
        <w:t xml:space="preserve"> olmak üzere, herhangi bir dönem içerisinde gerçekleştirilen ithalat ve fiili ihracat toplamının asgari altı milyon ABD doları tutarında olması,</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lastRenderedPageBreak/>
        <w:t>3) Yetkilendirilmiş gümrük müşaviriyle onaylanmış kişi statüsü başvurusunun ön incelemesi için sözleşme yapıldığı ayın ilk gününden geriye dönük iki yıl içerisinde asgari on beş milyon ABD doları tutarında sabit sermaye yatırımı yapmış olması.</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b) Yetkilendirilmiş gümrük müşaviriyle onaylanmış kişi statüsü başvurusunun ön incelemesi için sözleşme yapıldığı tarihten geriye dönük bir ay içinde en az on beş işçi istihdam ediyor olması.”</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t>MADDE 3 –</w:t>
      </w:r>
      <w:r w:rsidRPr="0090669C">
        <w:rPr>
          <w:rFonts w:ascii="Times New Roman" w:hAnsi="Times New Roman" w:cs="Times New Roman"/>
          <w:sz w:val="20"/>
          <w:szCs w:val="20"/>
        </w:rPr>
        <w:t xml:space="preserve"> Aynı Yönetmeliğin 79 uncu maddesinin birinci fıkrası aşağıdaki şekilde değiştirilmiştir.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“(1) Geçici depolanan eşyanın her türlü dış etken ve müdahalelerden korunmasını sağlayacak şekilde yapılmış ve taşıtların durduğu, yanaştığı veya indiği yerlerdeki ambar, depo, ardiye veya hangar gibi yerler geçici depolama yerleridir.”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t>MADDE 4 –</w:t>
      </w:r>
      <w:r w:rsidRPr="0090669C">
        <w:rPr>
          <w:rFonts w:ascii="Times New Roman" w:hAnsi="Times New Roman" w:cs="Times New Roman"/>
          <w:sz w:val="20"/>
          <w:szCs w:val="20"/>
        </w:rPr>
        <w:t xml:space="preserve"> Aynı Yönetmeliğin 149, 157 ve 166 </w:t>
      </w:r>
      <w:proofErr w:type="spellStart"/>
      <w:r w:rsidRPr="0090669C">
        <w:rPr>
          <w:rFonts w:ascii="Times New Roman" w:hAnsi="Times New Roman" w:cs="Times New Roman"/>
          <w:sz w:val="20"/>
          <w:szCs w:val="20"/>
        </w:rPr>
        <w:t>ncı</w:t>
      </w:r>
      <w:proofErr w:type="spellEnd"/>
      <w:r w:rsidRPr="0090669C">
        <w:rPr>
          <w:rFonts w:ascii="Times New Roman" w:hAnsi="Times New Roman" w:cs="Times New Roman"/>
          <w:sz w:val="20"/>
          <w:szCs w:val="20"/>
        </w:rPr>
        <w:t xml:space="preserve"> maddelerinin ikinci fıkrasının (a) bentleri yürürlükten kaldırılmıştır.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t xml:space="preserve">MADDE 5 – </w:t>
      </w:r>
      <w:r w:rsidRPr="0090669C">
        <w:rPr>
          <w:rFonts w:ascii="Times New Roman" w:hAnsi="Times New Roman" w:cs="Times New Roman"/>
          <w:sz w:val="20"/>
          <w:szCs w:val="20"/>
        </w:rPr>
        <w:t>Aynı Yönetmeliğin 335 inci maddesinin yedinci fıkrası aşağıdaki şekilde değiştirilmiştir.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xml:space="preserve">“(7) Antrepo rejimine tabi eşyanın tamamen veya kısmen üçüncü ülke menşeli girdiler kullanılarak </w:t>
      </w:r>
      <w:proofErr w:type="spellStart"/>
      <w:r w:rsidRPr="0090669C">
        <w:rPr>
          <w:rFonts w:ascii="Times New Roman" w:hAnsi="Times New Roman" w:cs="Times New Roman"/>
          <w:sz w:val="20"/>
          <w:szCs w:val="20"/>
        </w:rPr>
        <w:t>elleçleme</w:t>
      </w:r>
      <w:proofErr w:type="spellEnd"/>
      <w:r w:rsidRPr="0090669C">
        <w:rPr>
          <w:rFonts w:ascii="Times New Roman" w:hAnsi="Times New Roman" w:cs="Times New Roman"/>
          <w:sz w:val="20"/>
          <w:szCs w:val="20"/>
        </w:rPr>
        <w:t xml:space="preserve"> işlemine tabi tutulması halinde üçüncü ülke girdilerinin muayene ve tespiti yapıldıktan sonra CIF değeri belirlenerek, bunun İthalat Rejim Kararı eki listelerdeki ‘Diğer Ülkeler’ sütunundaki gümrük vergisi oranı üzerinden vergi </w:t>
      </w:r>
      <w:proofErr w:type="gramStart"/>
      <w:r w:rsidRPr="0090669C">
        <w:rPr>
          <w:rFonts w:ascii="Times New Roman" w:hAnsi="Times New Roman" w:cs="Times New Roman"/>
          <w:sz w:val="20"/>
          <w:szCs w:val="20"/>
        </w:rPr>
        <w:t>tahsilatı</w:t>
      </w:r>
      <w:proofErr w:type="gramEnd"/>
      <w:r w:rsidRPr="0090669C">
        <w:rPr>
          <w:rFonts w:ascii="Times New Roman" w:hAnsi="Times New Roman" w:cs="Times New Roman"/>
          <w:sz w:val="20"/>
          <w:szCs w:val="20"/>
        </w:rPr>
        <w:t xml:space="preserve"> yapılır. Bu işlemler, ek-70/</w:t>
      </w:r>
      <w:proofErr w:type="spellStart"/>
      <w:r w:rsidRPr="0090669C">
        <w:rPr>
          <w:rFonts w:ascii="Times New Roman" w:hAnsi="Times New Roman" w:cs="Times New Roman"/>
          <w:sz w:val="20"/>
          <w:szCs w:val="20"/>
        </w:rPr>
        <w:t>A'da</w:t>
      </w:r>
      <w:proofErr w:type="spellEnd"/>
      <w:r w:rsidRPr="0090669C">
        <w:rPr>
          <w:rFonts w:ascii="Times New Roman" w:hAnsi="Times New Roman" w:cs="Times New Roman"/>
          <w:sz w:val="20"/>
          <w:szCs w:val="20"/>
        </w:rPr>
        <w:t xml:space="preserve"> yer alan Antrepo Rejimi Kapsamında Tespit ve Tahakkuk </w:t>
      </w:r>
      <w:proofErr w:type="gramStart"/>
      <w:r w:rsidRPr="0090669C">
        <w:rPr>
          <w:rFonts w:ascii="Times New Roman" w:hAnsi="Times New Roman" w:cs="Times New Roman"/>
          <w:sz w:val="20"/>
          <w:szCs w:val="20"/>
        </w:rPr>
        <w:t>Kağıdı</w:t>
      </w:r>
      <w:proofErr w:type="gramEnd"/>
      <w:r w:rsidRPr="0090669C">
        <w:rPr>
          <w:rFonts w:ascii="Times New Roman" w:hAnsi="Times New Roman" w:cs="Times New Roman"/>
          <w:sz w:val="20"/>
          <w:szCs w:val="20"/>
        </w:rPr>
        <w:t xml:space="preserve"> üzerinden yürütülür. Muayene ile görevli memurun tespit ve tahakkuk işlemini tamamlamasından sonra hesaplanan gümrük vergisi tutarı gümrük saymanlığına veya mutemetliğine yatırılır. Gümrük vezne alındısının ibrazı üzerine A.TR Dolaşım Belgesi, gümrük idaresi tarafından 432 </w:t>
      </w:r>
      <w:proofErr w:type="spellStart"/>
      <w:r w:rsidRPr="0090669C">
        <w:rPr>
          <w:rFonts w:ascii="Times New Roman" w:hAnsi="Times New Roman" w:cs="Times New Roman"/>
          <w:sz w:val="20"/>
          <w:szCs w:val="20"/>
        </w:rPr>
        <w:t>nci</w:t>
      </w:r>
      <w:proofErr w:type="spellEnd"/>
      <w:r w:rsidRPr="0090669C">
        <w:rPr>
          <w:rFonts w:ascii="Times New Roman" w:hAnsi="Times New Roman" w:cs="Times New Roman"/>
          <w:sz w:val="20"/>
          <w:szCs w:val="20"/>
        </w:rPr>
        <w:t xml:space="preserve"> madde çerçevesinde vize edilir.”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t>MADDE 6 –</w:t>
      </w:r>
      <w:r w:rsidRPr="0090669C">
        <w:rPr>
          <w:rFonts w:ascii="Times New Roman" w:hAnsi="Times New Roman" w:cs="Times New Roman"/>
          <w:sz w:val="20"/>
          <w:szCs w:val="20"/>
        </w:rPr>
        <w:t xml:space="preserve"> Aynı Yönetmeliğin 359 uncu maddesinin birinci fıkrasının sonuna aşağıdaki cümleler eklenmiştir.</w:t>
      </w:r>
    </w:p>
    <w:p w:rsidR="0090669C" w:rsidRPr="0090669C" w:rsidRDefault="0090669C" w:rsidP="0090669C">
      <w:pPr>
        <w:pStyle w:val="3-normalyaz"/>
        <w:spacing w:before="0" w:beforeAutospacing="0" w:after="0" w:afterAutospacing="0" w:line="276" w:lineRule="auto"/>
        <w:rPr>
          <w:color w:val="auto"/>
          <w:sz w:val="20"/>
          <w:szCs w:val="20"/>
        </w:rPr>
      </w:pPr>
      <w:r w:rsidRPr="0090669C">
        <w:rPr>
          <w:color w:val="auto"/>
          <w:sz w:val="20"/>
          <w:szCs w:val="20"/>
        </w:rPr>
        <w:t>“Ayrıca, izin kapsamındaki ihracatın tamamının yapılmasından sonra ikincil işlem görmüş ürünlerin tamamı için tek seferde serbest dolaşıma giriş beyannamesi de verilmesi mümkün bulunmaktadır. Bu fıkra kapsamında ikincil işlem görmüş ürünlerin serbest dolaşıma girişinde, ilgili kurumların yürürlükteki mevzuatları uyarınca yapacakları kontroller hariç olmak üzere, gümrük vergileri ayniyet tespiti yapılmaksızın firma beyanı ve izinde öngörülen gerçekleşme oranları üzerinden hesaplanan miktar ve birim fiyat esas alınarak tahsil edilir.”</w:t>
      </w:r>
    </w:p>
    <w:p w:rsidR="0090669C" w:rsidRPr="0090669C" w:rsidRDefault="0090669C" w:rsidP="0090669C">
      <w:pPr>
        <w:pStyle w:val="3-normalyaz"/>
        <w:spacing w:before="0" w:beforeAutospacing="0" w:after="0" w:afterAutospacing="0" w:line="276" w:lineRule="auto"/>
        <w:rPr>
          <w:color w:val="auto"/>
          <w:sz w:val="20"/>
          <w:szCs w:val="20"/>
        </w:rPr>
      </w:pPr>
      <w:r w:rsidRPr="0090669C">
        <w:rPr>
          <w:color w:val="auto"/>
          <w:sz w:val="20"/>
          <w:szCs w:val="20"/>
        </w:rPr>
        <w:t> </w:t>
      </w:r>
    </w:p>
    <w:p w:rsidR="0090669C" w:rsidRPr="0090669C" w:rsidRDefault="0090669C" w:rsidP="0090669C">
      <w:pPr>
        <w:pStyle w:val="3-normalyaz"/>
        <w:spacing w:before="0" w:beforeAutospacing="0" w:after="0" w:afterAutospacing="0" w:line="276" w:lineRule="auto"/>
        <w:rPr>
          <w:color w:val="auto"/>
          <w:sz w:val="20"/>
          <w:szCs w:val="20"/>
        </w:rPr>
      </w:pPr>
      <w:r w:rsidRPr="0090669C">
        <w:rPr>
          <w:b/>
          <w:color w:val="auto"/>
          <w:sz w:val="20"/>
          <w:szCs w:val="20"/>
        </w:rPr>
        <w:t>MADDE 7 –</w:t>
      </w:r>
      <w:r w:rsidRPr="0090669C">
        <w:rPr>
          <w:color w:val="auto"/>
          <w:sz w:val="20"/>
          <w:szCs w:val="20"/>
        </w:rPr>
        <w:t xml:space="preserve"> Aynı Yönetmeliğin 493 üncü maddesinin beşinci fıkrası aşağıdaki şekilde değiştirilmiştir.</w:t>
      </w:r>
    </w:p>
    <w:p w:rsidR="0090669C" w:rsidRPr="0090669C" w:rsidRDefault="0090669C" w:rsidP="0090669C">
      <w:pPr>
        <w:pStyle w:val="3-normalyaz"/>
        <w:spacing w:before="0" w:beforeAutospacing="0" w:after="0" w:afterAutospacing="0" w:line="276" w:lineRule="auto"/>
        <w:rPr>
          <w:color w:val="auto"/>
          <w:sz w:val="20"/>
          <w:szCs w:val="20"/>
        </w:rPr>
      </w:pPr>
      <w:r w:rsidRPr="0090669C">
        <w:rPr>
          <w:color w:val="auto"/>
          <w:sz w:val="20"/>
          <w:szCs w:val="20"/>
        </w:rPr>
        <w:t> </w:t>
      </w:r>
    </w:p>
    <w:p w:rsidR="0090669C" w:rsidRPr="0090669C" w:rsidRDefault="0090669C" w:rsidP="0090669C">
      <w:pPr>
        <w:pStyle w:val="3-normalyaz"/>
        <w:spacing w:before="0" w:beforeAutospacing="0" w:after="0" w:afterAutospacing="0" w:line="276" w:lineRule="auto"/>
        <w:rPr>
          <w:color w:val="auto"/>
          <w:sz w:val="20"/>
          <w:szCs w:val="20"/>
        </w:rPr>
      </w:pPr>
      <w:r w:rsidRPr="0090669C">
        <w:rPr>
          <w:color w:val="auto"/>
          <w:sz w:val="20"/>
          <w:szCs w:val="20"/>
        </w:rPr>
        <w:t>“(5) Götürü teminat sisteminden, Onaylanmış Kişi Statüsüne sahip olan yükümlüler ile Bakanlıkça belirlenen şartları taşıyan antrepo işleticileri yararlanabilir.”</w:t>
      </w:r>
    </w:p>
    <w:p w:rsidR="0090669C" w:rsidRPr="0090669C" w:rsidRDefault="0090669C" w:rsidP="0090669C">
      <w:pPr>
        <w:pStyle w:val="3-normalyaz"/>
        <w:spacing w:before="0" w:beforeAutospacing="0" w:after="0" w:afterAutospacing="0" w:line="276" w:lineRule="auto"/>
        <w:rPr>
          <w:color w:val="auto"/>
          <w:sz w:val="20"/>
          <w:szCs w:val="20"/>
        </w:rPr>
      </w:pPr>
      <w:r w:rsidRPr="0090669C">
        <w:rPr>
          <w:color w:val="auto"/>
          <w:sz w:val="20"/>
          <w:szCs w:val="20"/>
        </w:rPr>
        <w:t> </w:t>
      </w:r>
    </w:p>
    <w:p w:rsidR="0090669C" w:rsidRPr="0090669C" w:rsidRDefault="0090669C" w:rsidP="0090669C">
      <w:pPr>
        <w:pStyle w:val="3-normalyaz"/>
        <w:spacing w:before="0" w:beforeAutospacing="0" w:after="0" w:afterAutospacing="0" w:line="276" w:lineRule="auto"/>
        <w:rPr>
          <w:color w:val="auto"/>
          <w:sz w:val="20"/>
          <w:szCs w:val="20"/>
        </w:rPr>
      </w:pPr>
      <w:r w:rsidRPr="0090669C">
        <w:rPr>
          <w:b/>
          <w:color w:val="auto"/>
          <w:sz w:val="20"/>
          <w:szCs w:val="20"/>
        </w:rPr>
        <w:t>MADDE 8 –</w:t>
      </w:r>
      <w:r w:rsidRPr="0090669C">
        <w:rPr>
          <w:color w:val="auto"/>
          <w:sz w:val="20"/>
          <w:szCs w:val="20"/>
        </w:rPr>
        <w:t xml:space="preserve"> Aynı Yönetmeliğin 513 üncü maddesi aşağıdaki şekilde değiştirilmiştir.</w:t>
      </w:r>
    </w:p>
    <w:p w:rsidR="0090669C" w:rsidRPr="0090669C" w:rsidRDefault="0090669C" w:rsidP="0090669C">
      <w:pPr>
        <w:pStyle w:val="3-normalyaz"/>
        <w:spacing w:before="0" w:beforeAutospacing="0" w:after="0" w:afterAutospacing="0" w:line="276" w:lineRule="auto"/>
        <w:rPr>
          <w:color w:val="auto"/>
          <w:sz w:val="20"/>
          <w:szCs w:val="20"/>
        </w:rPr>
      </w:pPr>
      <w:r w:rsidRPr="0090669C">
        <w:rPr>
          <w:color w:val="auto"/>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lastRenderedPageBreak/>
        <w:t>“MADDE 513 –</w:t>
      </w:r>
      <w:r w:rsidRPr="0090669C">
        <w:rPr>
          <w:rFonts w:ascii="Times New Roman" w:hAnsi="Times New Roman" w:cs="Times New Roman"/>
          <w:sz w:val="20"/>
          <w:szCs w:val="20"/>
        </w:rPr>
        <w:t xml:space="preserve"> (1) Geçici depolama yeri açıp işletmek isteyen kişiler izin almak için ilgili gümrük müdürlüğüne bir dilekçe ile müracaat ederler. </w:t>
      </w:r>
      <w:proofErr w:type="gramStart"/>
      <w:r w:rsidRPr="0090669C">
        <w:rPr>
          <w:rFonts w:ascii="Times New Roman" w:hAnsi="Times New Roman" w:cs="Times New Roman"/>
          <w:sz w:val="20"/>
          <w:szCs w:val="20"/>
        </w:rPr>
        <w:t xml:space="preserve">Dilekçeye, 78 inci maddede sayılan suçlardan mahkûm olunmadığına dair adli sicil belgesi, açılması talep edilen geçici depolama yerinin tam adresi, kira </w:t>
      </w:r>
      <w:proofErr w:type="spellStart"/>
      <w:r w:rsidRPr="0090669C">
        <w:rPr>
          <w:rFonts w:ascii="Times New Roman" w:hAnsi="Times New Roman" w:cs="Times New Roman"/>
          <w:sz w:val="20"/>
          <w:szCs w:val="20"/>
        </w:rPr>
        <w:t>kontratosu</w:t>
      </w:r>
      <w:proofErr w:type="spellEnd"/>
      <w:r w:rsidRPr="0090669C">
        <w:rPr>
          <w:rFonts w:ascii="Times New Roman" w:hAnsi="Times New Roman" w:cs="Times New Roman"/>
          <w:sz w:val="20"/>
          <w:szCs w:val="20"/>
        </w:rPr>
        <w:t xml:space="preserve"> veya tapu senedi, ticaret sicili gazetesi, imza sirküleri, resmi bir fen kurulundan onaylı plan veya kroki, geçici depolama yeri olarak (ş.abacı) açılmak istenilen yer; belediye sınırları içerisinde ise ilgili belediye başkanlığından alınacak İşyeri Açma ve Çalıştırma Ruhsatı, diğer yerlerde ise ilgili yerden (valilikler ya da konusu ile ilgili yetkili bakanlık veya kuruluş) alınacak İşyeri Açma ve Çalıştırma Ruhsatı veya buna karşılık gelen belge ile geçici depolama yerinin yangın söndürme ve ışıklandırma sistemini de gösterir içten ve dıştan çok yönlü, ilgili gümrük idaresince tasdikli fotoğrafları, vergi mükellefiyet belgesi, yangına karşı gerekli tedbirlerin alındığını gösteren ilgili belediyeden temin edilecek belge ve ek-79’da yer alan taahhütname eklenir. </w:t>
      </w:r>
      <w:proofErr w:type="gramEnd"/>
      <w:r w:rsidRPr="0090669C">
        <w:rPr>
          <w:rFonts w:ascii="Times New Roman" w:hAnsi="Times New Roman" w:cs="Times New Roman"/>
          <w:sz w:val="20"/>
          <w:szCs w:val="20"/>
        </w:rPr>
        <w:t xml:space="preserve">Söz konusu belgelerin noter tasdikli olması gerekir. Bu belgelerin asıllarının gümrük idaresine gösterilmesi halinde noter </w:t>
      </w:r>
      <w:proofErr w:type="spellStart"/>
      <w:r w:rsidRPr="0090669C">
        <w:rPr>
          <w:rFonts w:ascii="Times New Roman" w:hAnsi="Times New Roman" w:cs="Times New Roman"/>
          <w:sz w:val="20"/>
          <w:szCs w:val="20"/>
        </w:rPr>
        <w:t>tasdiği</w:t>
      </w:r>
      <w:proofErr w:type="spellEnd"/>
      <w:r w:rsidRPr="0090669C">
        <w:rPr>
          <w:rFonts w:ascii="Times New Roman" w:hAnsi="Times New Roman" w:cs="Times New Roman"/>
          <w:sz w:val="20"/>
          <w:szCs w:val="20"/>
        </w:rPr>
        <w:t xml:space="preserve"> aranmaz. Gümrük idareleri bu belgeler yanında gerekli gördüğü sair belgeleri de isteyebilir.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(2) Gümrük müdürlüğü talep edilen geçici depolama yerinin;</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a) Eşyanın güvenli bir şekilde muhafazasını sağlayacak nitelikte,</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b) Gümrüklü sahada veya gümrük idaresi bulunan deniz ve hava limanı içerisinde veya iç gümrük idarelerinde</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proofErr w:type="gramStart"/>
      <w:r w:rsidRPr="0090669C">
        <w:rPr>
          <w:rFonts w:ascii="Times New Roman" w:hAnsi="Times New Roman" w:cs="Times New Roman"/>
          <w:sz w:val="20"/>
          <w:szCs w:val="20"/>
        </w:rPr>
        <w:t>gümrük</w:t>
      </w:r>
      <w:proofErr w:type="gramEnd"/>
      <w:r w:rsidRPr="0090669C">
        <w:rPr>
          <w:rFonts w:ascii="Times New Roman" w:hAnsi="Times New Roman" w:cs="Times New Roman"/>
          <w:sz w:val="20"/>
          <w:szCs w:val="20"/>
        </w:rPr>
        <w:t xml:space="preserve"> müdürlüğüne bitişik,</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c) Eşya giriş ve çıkışına uygun açık ve/veya kapalı alanı,</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ç) Eşya miktarının tespiti ile eşyanın boşaltılması ve yüklenilmesine yönelik gerekli teknik donanıma sahip,</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d) Yangın söndürme ve aydınlatma tesisatı,</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e) Memur çalışma yerine sahip</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proofErr w:type="gramStart"/>
      <w:r w:rsidRPr="0090669C">
        <w:rPr>
          <w:rFonts w:ascii="Times New Roman" w:hAnsi="Times New Roman" w:cs="Times New Roman"/>
          <w:sz w:val="20"/>
          <w:szCs w:val="20"/>
        </w:rPr>
        <w:t>olduğunun</w:t>
      </w:r>
      <w:proofErr w:type="gramEnd"/>
      <w:r w:rsidRPr="0090669C">
        <w:rPr>
          <w:rFonts w:ascii="Times New Roman" w:hAnsi="Times New Roman" w:cs="Times New Roman"/>
          <w:sz w:val="20"/>
          <w:szCs w:val="20"/>
        </w:rPr>
        <w:t xml:space="preserve"> tespiti ve ilgili diğer hususların da belirtildiği görgü raporunu görüşleri ile birlikte başmüdürlüğe gönderir.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(3) İkinci fıkranın (b) bendinde belirtilen yerler dışında geçici depolama yeri açma talepleri ile ilgili olarak, mevcut geçici depolama yerlerinin fiziksel olarak ihtiyacı karşılamadığı ve ekonomik yönden ihtiyaç bulunduğu gibi durumların gümrük idaresi ve ilgili kamu kurumlarınca bildirilmesini müteakip Bakanlıkça yapılacak değerlendirme sonucunda ön izin verilebilir.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lastRenderedPageBreak/>
        <w:t>(4) Başmüdürlük durumu inceleyerek görüşü ile birlikte ilgili dosyasını Bakanlığa intikal ettirir. Müracaatlar Bakanlıkça sonuçlandırılır.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(5) Gümrük idareleri, taahhütlerini ve bu Yönetmelikte belirtilen yükümlülüklerini yerine getirmeyen geçici depolama yeri işleticilerine, ilk tebligat tarihinden başlamak ve en fazla bir yıl olmak üzere bu yükümlülüklerini yerine getirmelerini, aksi halde verilen süre sonunda işletme hakkının geri alınabileceğini bildirir. Geçici depolama yeri işleticileri buna rağmen yükümlülüklerini yerine getirmedikleri takdirde verilmiş olan izin Bakanlıkça iptal edilir.”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t>MADDE 9 –</w:t>
      </w:r>
      <w:r w:rsidRPr="0090669C">
        <w:rPr>
          <w:rFonts w:ascii="Times New Roman" w:hAnsi="Times New Roman" w:cs="Times New Roman"/>
          <w:sz w:val="20"/>
          <w:szCs w:val="20"/>
        </w:rPr>
        <w:t xml:space="preserve"> Aynı Yönetmeliğin 528 inci maddesinin ikinci ve üçüncü fıkraları aşağıdaki şekilde değiştirilmiştir.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“(2) Birden fazla antrepo işletmeciliği yapan ve 529 uncu maddedeki şartları taşıyan işletmeci firmaların başmüdürlüğe 250.000 Avro toplu götürü teminat vermeleri halinde bunlardan işlettikleri antrepolara koyacakları eşya için başkaca bir teminat aranmaz. Ancak birden fazla antrepo işletmeciliği yapan ve 529 uncu maddedeki şartları taşıyan işletmeci firmaların bir ya da daha çok akaryakıt antreposu işletmeleri halinde 500.000 Avro toplu götürü teminat vermeleri gerekir.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(3) İndirimli veya toplu götürü teminata ilişkin başvurular, ilgili gümrük müdürlüğüne yapılır. Ancak, toplu götürü teminat verilecek antrepoların birden fazla başmüdürlük bağlantısı gümrük idaresi denetiminde olması halinde antrepo teminatı ilk başvuru yapılan başmüdürlüğe verilir.”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t>MADDE 10 –</w:t>
      </w:r>
      <w:r w:rsidRPr="0090669C">
        <w:rPr>
          <w:rFonts w:ascii="Times New Roman" w:hAnsi="Times New Roman" w:cs="Times New Roman"/>
          <w:sz w:val="20"/>
          <w:szCs w:val="20"/>
        </w:rPr>
        <w:t xml:space="preserve"> Aynı Yönetmeliğin 572 </w:t>
      </w:r>
      <w:proofErr w:type="spellStart"/>
      <w:r w:rsidRPr="0090669C">
        <w:rPr>
          <w:rFonts w:ascii="Times New Roman" w:hAnsi="Times New Roman" w:cs="Times New Roman"/>
          <w:sz w:val="20"/>
          <w:szCs w:val="20"/>
        </w:rPr>
        <w:t>nci</w:t>
      </w:r>
      <w:proofErr w:type="spellEnd"/>
      <w:r w:rsidRPr="0090669C">
        <w:rPr>
          <w:rFonts w:ascii="Times New Roman" w:hAnsi="Times New Roman" w:cs="Times New Roman"/>
          <w:sz w:val="20"/>
          <w:szCs w:val="20"/>
        </w:rPr>
        <w:t xml:space="preserve"> maddesinin ikinci fıkrası aşağıdaki şekilde değiştirilmiştir.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“(2) Bu sınav, ön eleme sınav konuları ve bunlarla ilgili mevzuatı kapsar.”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t>MADDE 11 –</w:t>
      </w:r>
      <w:r w:rsidRPr="0090669C">
        <w:rPr>
          <w:rFonts w:ascii="Times New Roman" w:hAnsi="Times New Roman" w:cs="Times New Roman"/>
          <w:sz w:val="20"/>
          <w:szCs w:val="20"/>
        </w:rPr>
        <w:t xml:space="preserve"> Aynı Yönetmeliğin 14 numaralı ekinin “rejim kodu” başlıklı Ek-14'ündeki 5321 rejim kodundan sonra gelmek üzere aşağıdaki 5323 rejim kodu eklenmiştir.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“5323 – İhraç edildiği şekli ile geri gelmek üzere geçici ihraç edilen eşyanın geçici ithalat rejimi kapsamında ithalatı”</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t>MADDE 12 –</w:t>
      </w:r>
      <w:r w:rsidRPr="0090669C">
        <w:rPr>
          <w:rFonts w:ascii="Times New Roman" w:hAnsi="Times New Roman" w:cs="Times New Roman"/>
          <w:sz w:val="20"/>
          <w:szCs w:val="20"/>
        </w:rPr>
        <w:t xml:space="preserve"> Aynı Yönetmeliğe ekteki Ek-70/A eklenmiştir.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t>MADDE 13 –</w:t>
      </w:r>
      <w:r w:rsidRPr="0090669C">
        <w:rPr>
          <w:rFonts w:ascii="Times New Roman" w:hAnsi="Times New Roman" w:cs="Times New Roman"/>
          <w:sz w:val="20"/>
          <w:szCs w:val="20"/>
        </w:rPr>
        <w:t xml:space="preserve"> Bu Yönetmeliğin 1, 2, 3, 5 ve 7 </w:t>
      </w:r>
      <w:proofErr w:type="spellStart"/>
      <w:r w:rsidRPr="0090669C">
        <w:rPr>
          <w:rFonts w:ascii="Times New Roman" w:hAnsi="Times New Roman" w:cs="Times New Roman"/>
          <w:sz w:val="20"/>
          <w:szCs w:val="20"/>
        </w:rPr>
        <w:t>nci</w:t>
      </w:r>
      <w:proofErr w:type="spellEnd"/>
      <w:r w:rsidRPr="0090669C">
        <w:rPr>
          <w:rFonts w:ascii="Times New Roman" w:hAnsi="Times New Roman" w:cs="Times New Roman"/>
          <w:sz w:val="20"/>
          <w:szCs w:val="20"/>
        </w:rPr>
        <w:t xml:space="preserve"> maddeleri </w:t>
      </w:r>
      <w:proofErr w:type="gramStart"/>
      <w:r w:rsidRPr="0090669C">
        <w:rPr>
          <w:rFonts w:ascii="Times New Roman" w:hAnsi="Times New Roman" w:cs="Times New Roman"/>
          <w:sz w:val="20"/>
          <w:szCs w:val="20"/>
        </w:rPr>
        <w:t>5/8/2011</w:t>
      </w:r>
      <w:proofErr w:type="gramEnd"/>
      <w:r w:rsidRPr="0090669C">
        <w:rPr>
          <w:rFonts w:ascii="Times New Roman" w:hAnsi="Times New Roman" w:cs="Times New Roman"/>
          <w:sz w:val="20"/>
          <w:szCs w:val="20"/>
        </w:rPr>
        <w:t xml:space="preserve"> tarihinde, diğer maddeleri yayımı tarihinde yürürlüğe girer.</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sz w:val="20"/>
          <w:szCs w:val="20"/>
        </w:rPr>
        <w:t> </w:t>
      </w:r>
    </w:p>
    <w:p w:rsidR="0090669C" w:rsidRPr="0090669C" w:rsidRDefault="0090669C" w:rsidP="0090669C">
      <w:pPr>
        <w:jc w:val="both"/>
        <w:rPr>
          <w:rFonts w:ascii="Times New Roman" w:hAnsi="Times New Roman" w:cs="Times New Roman"/>
          <w:sz w:val="20"/>
          <w:szCs w:val="20"/>
        </w:rPr>
      </w:pPr>
      <w:r w:rsidRPr="0090669C">
        <w:rPr>
          <w:rFonts w:ascii="Times New Roman" w:hAnsi="Times New Roman" w:cs="Times New Roman"/>
          <w:b/>
          <w:sz w:val="20"/>
          <w:szCs w:val="20"/>
        </w:rPr>
        <w:lastRenderedPageBreak/>
        <w:t xml:space="preserve">MADDE 14 – </w:t>
      </w:r>
      <w:r w:rsidRPr="0090669C">
        <w:rPr>
          <w:rFonts w:ascii="Times New Roman" w:hAnsi="Times New Roman" w:cs="Times New Roman"/>
          <w:sz w:val="20"/>
          <w:szCs w:val="20"/>
        </w:rPr>
        <w:t>Bu Yönetmelik hükümlerini Gümrük ve Ticaret Bakanı yürütür.</w:t>
      </w:r>
    </w:p>
    <w:p w:rsidR="0090669C" w:rsidRPr="0090669C" w:rsidRDefault="0090669C" w:rsidP="0090669C">
      <w:pPr>
        <w:pStyle w:val="3-normalyaz"/>
        <w:spacing w:before="0" w:beforeAutospacing="0" w:after="0" w:afterAutospacing="0" w:line="276" w:lineRule="auto"/>
        <w:ind w:firstLine="566"/>
        <w:rPr>
          <w:color w:val="auto"/>
          <w:sz w:val="20"/>
          <w:szCs w:val="20"/>
        </w:rPr>
      </w:pPr>
      <w:r w:rsidRPr="0090669C">
        <w:rPr>
          <w:color w:val="auto"/>
          <w:sz w:val="20"/>
          <w:szCs w:val="20"/>
        </w:rPr>
        <w:t> </w:t>
      </w:r>
    </w:p>
    <w:p w:rsidR="0090669C" w:rsidRPr="0090669C" w:rsidRDefault="0090669C" w:rsidP="0090669C">
      <w:pPr>
        <w:pStyle w:val="3-normalyaz"/>
        <w:spacing w:before="0" w:beforeAutospacing="0" w:after="0" w:afterAutospacing="0" w:line="276" w:lineRule="auto"/>
        <w:ind w:firstLine="566"/>
        <w:rPr>
          <w:color w:val="auto"/>
          <w:sz w:val="20"/>
          <w:szCs w:val="20"/>
        </w:rPr>
      </w:pPr>
      <w:r w:rsidRPr="0090669C">
        <w:rPr>
          <w:color w:val="auto"/>
          <w:sz w:val="20"/>
          <w:szCs w:val="20"/>
        </w:rPr>
        <w:t> </w:t>
      </w:r>
    </w:p>
    <w:p w:rsidR="0090669C" w:rsidRPr="0090669C" w:rsidRDefault="0090669C" w:rsidP="0090669C">
      <w:pPr>
        <w:pStyle w:val="3-normalyaz"/>
        <w:spacing w:before="0" w:beforeAutospacing="0" w:after="0" w:afterAutospacing="0" w:line="276" w:lineRule="auto"/>
        <w:rPr>
          <w:color w:val="auto"/>
          <w:sz w:val="20"/>
          <w:szCs w:val="20"/>
        </w:rPr>
      </w:pPr>
      <w:hyperlink r:id="rId12" w:history="1">
        <w:r w:rsidRPr="0090669C">
          <w:rPr>
            <w:rStyle w:val="Kpr"/>
            <w:color w:val="auto"/>
            <w:sz w:val="20"/>
            <w:szCs w:val="20"/>
            <w:u w:val="single"/>
          </w:rPr>
          <w:t>Yönetmeliğin ekini görmek için tıklayınız</w:t>
        </w:r>
      </w:hyperlink>
    </w:p>
    <w:p w:rsidR="0090669C" w:rsidRPr="0090669C" w:rsidRDefault="0090669C" w:rsidP="006C2D9D">
      <w:pPr>
        <w:pStyle w:val="NormalWeb"/>
        <w:spacing w:before="0" w:beforeAutospacing="0" w:after="0" w:afterAutospacing="0" w:line="276" w:lineRule="auto"/>
        <w:rPr>
          <w:color w:val="auto"/>
          <w:sz w:val="20"/>
          <w:szCs w:val="20"/>
        </w:rPr>
      </w:pPr>
    </w:p>
    <w:sectPr w:rsidR="0090669C" w:rsidRPr="0090669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62291"/>
    <w:rsid w:val="002F5DD8"/>
    <w:rsid w:val="00387118"/>
    <w:rsid w:val="003D5023"/>
    <w:rsid w:val="004349E9"/>
    <w:rsid w:val="00440367"/>
    <w:rsid w:val="00487ADF"/>
    <w:rsid w:val="004B1FB5"/>
    <w:rsid w:val="00627628"/>
    <w:rsid w:val="006864B7"/>
    <w:rsid w:val="006938DD"/>
    <w:rsid w:val="006B16F2"/>
    <w:rsid w:val="006C2D9D"/>
    <w:rsid w:val="00741B89"/>
    <w:rsid w:val="007F0B4B"/>
    <w:rsid w:val="00853C7D"/>
    <w:rsid w:val="00854231"/>
    <w:rsid w:val="0090669C"/>
    <w:rsid w:val="00917B47"/>
    <w:rsid w:val="00920EFE"/>
    <w:rsid w:val="00985E37"/>
    <w:rsid w:val="009D2E87"/>
    <w:rsid w:val="009F6B64"/>
    <w:rsid w:val="00A256DC"/>
    <w:rsid w:val="00AF5CA9"/>
    <w:rsid w:val="00B7286A"/>
    <w:rsid w:val="00D241B1"/>
    <w:rsid w:val="00DE5DFB"/>
    <w:rsid w:val="00E24DC4"/>
    <w:rsid w:val="00F669EC"/>
    <w:rsid w:val="00FA56A9"/>
    <w:rsid w:val="00FB74E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2009/gumruk_yonetmeligi.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omaliye.com/2009/gumruk_yonetmeligi.htm" TargetMode="External"/><Relationship Id="rId12" Type="http://schemas.openxmlformats.org/officeDocument/2006/relationships/hyperlink" Target="http://www.resmigazete.gov.tr/eskiler/2011/07/20110716-2-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maliye.com/2009/gumruk_yonetmeligi.htm" TargetMode="External"/><Relationship Id="rId11" Type="http://schemas.openxmlformats.org/officeDocument/2006/relationships/hyperlink" Target="http://www.alomaliye.com/2009/gumruk_yonetmeligi.htm" TargetMode="External"/><Relationship Id="rId5" Type="http://schemas.openxmlformats.org/officeDocument/2006/relationships/hyperlink" Target="http://www.alomaliye.com/2009/gumruk_yonetmeligi.htm" TargetMode="External"/><Relationship Id="rId10" Type="http://schemas.openxmlformats.org/officeDocument/2006/relationships/hyperlink" Target="http://www.alomaliye.com/2009/gumruk_yonetmeligi.htm" TargetMode="External"/><Relationship Id="rId4" Type="http://schemas.openxmlformats.org/officeDocument/2006/relationships/hyperlink" Target="http://www.alomaliye.com/2009/gumruk_yonetmeligi.htm" TargetMode="External"/><Relationship Id="rId9" Type="http://schemas.openxmlformats.org/officeDocument/2006/relationships/hyperlink" Target="http://www.alomaliye.com/2009/gumruk_yonetmeligi.ht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1552</Words>
  <Characters>8853</Characters>
  <Application>Microsoft Office Word</Application>
  <DocSecurity>0</DocSecurity>
  <Lines>73</Lines>
  <Paragraphs>20</Paragraphs>
  <ScaleCrop>false</ScaleCrop>
  <Company>TURMOB</Company>
  <LinksUpToDate>false</LinksUpToDate>
  <CharactersWithSpaces>10385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43</cp:revision>
  <dcterms:created xsi:type="dcterms:W3CDTF">2011-07-01T05:43:00Z</dcterms:created>
  <dcterms:modified xsi:type="dcterms:W3CDTF">2011-07-18T05:27:00Z</dcterms:modified>
</cp:coreProperties>
</file>