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DD29D1" w:rsidRDefault="009F6B64">
      <w:pPr>
        <w:rPr>
          <w:rFonts w:ascii="Times New Roman" w:hAnsi="Times New Roman" w:cs="Times New Roman"/>
          <w:sz w:val="20"/>
          <w:szCs w:val="20"/>
        </w:rPr>
      </w:pPr>
    </w:p>
    <w:p w:rsidR="00A256DC" w:rsidRPr="00DD29D1" w:rsidRDefault="00764A2F" w:rsidP="00A256DC">
      <w:pPr>
        <w:pStyle w:val="NormalWeb"/>
        <w:spacing w:before="0" w:beforeAutospacing="0" w:after="0" w:afterAutospacing="0" w:line="276" w:lineRule="auto"/>
        <w:rPr>
          <w:b/>
          <w:color w:val="auto"/>
          <w:sz w:val="20"/>
          <w:szCs w:val="20"/>
          <w:u w:val="single"/>
        </w:rPr>
      </w:pPr>
      <w:r w:rsidRPr="00DD29D1">
        <w:rPr>
          <w:b/>
          <w:color w:val="auto"/>
          <w:sz w:val="20"/>
          <w:szCs w:val="20"/>
          <w:u w:val="single"/>
        </w:rPr>
        <w:t>2</w:t>
      </w:r>
      <w:r w:rsidR="00F71BFD" w:rsidRPr="00DD29D1">
        <w:rPr>
          <w:b/>
          <w:color w:val="auto"/>
          <w:sz w:val="20"/>
          <w:szCs w:val="20"/>
          <w:u w:val="single"/>
        </w:rPr>
        <w:t>8</w:t>
      </w:r>
      <w:r w:rsidR="009F6B64" w:rsidRPr="00DD29D1">
        <w:rPr>
          <w:b/>
          <w:color w:val="auto"/>
          <w:sz w:val="20"/>
          <w:szCs w:val="20"/>
          <w:u w:val="single"/>
        </w:rPr>
        <w:t xml:space="preserve"> Temmuz 2011 Tarih,</w:t>
      </w:r>
      <w:r w:rsidR="009F6B64" w:rsidRPr="00DD29D1">
        <w:rPr>
          <w:b/>
          <w:color w:val="auto"/>
          <w:sz w:val="20"/>
          <w:szCs w:val="20"/>
          <w:u w:val="single"/>
        </w:rPr>
        <w:tab/>
      </w:r>
      <w:r w:rsidR="009F6B64" w:rsidRPr="00DD29D1">
        <w:rPr>
          <w:b/>
          <w:color w:val="auto"/>
          <w:sz w:val="20"/>
          <w:szCs w:val="20"/>
          <w:u w:val="single"/>
        </w:rPr>
        <w:tab/>
      </w:r>
      <w:r w:rsidR="009F6B64" w:rsidRPr="00DD29D1">
        <w:rPr>
          <w:b/>
          <w:color w:val="auto"/>
          <w:sz w:val="20"/>
          <w:szCs w:val="20"/>
          <w:u w:val="single"/>
        </w:rPr>
        <w:tab/>
      </w:r>
      <w:r w:rsidR="009F6B64" w:rsidRPr="00DD29D1">
        <w:rPr>
          <w:b/>
          <w:color w:val="auto"/>
          <w:sz w:val="20"/>
          <w:szCs w:val="20"/>
          <w:u w:val="single"/>
        </w:rPr>
        <w:tab/>
      </w:r>
      <w:r w:rsidR="009F6B64" w:rsidRPr="00DD29D1">
        <w:rPr>
          <w:b/>
          <w:color w:val="auto"/>
          <w:sz w:val="20"/>
          <w:szCs w:val="20"/>
          <w:u w:val="single"/>
        </w:rPr>
        <w:tab/>
      </w:r>
      <w:r w:rsidR="009F6B64" w:rsidRPr="00DD29D1">
        <w:rPr>
          <w:b/>
          <w:color w:val="auto"/>
          <w:sz w:val="20"/>
          <w:szCs w:val="20"/>
          <w:u w:val="single"/>
        </w:rPr>
        <w:tab/>
      </w:r>
      <w:r w:rsidR="00127623" w:rsidRPr="00DD29D1">
        <w:rPr>
          <w:b/>
          <w:color w:val="auto"/>
          <w:sz w:val="20"/>
          <w:szCs w:val="20"/>
          <w:u w:val="single"/>
        </w:rPr>
        <w:tab/>
      </w:r>
      <w:r w:rsidR="00127623" w:rsidRPr="00DD29D1">
        <w:rPr>
          <w:b/>
          <w:color w:val="auto"/>
          <w:sz w:val="20"/>
          <w:szCs w:val="20"/>
          <w:u w:val="single"/>
        </w:rPr>
        <w:tab/>
      </w:r>
      <w:r w:rsidR="00A256DC" w:rsidRPr="00DD29D1">
        <w:rPr>
          <w:b/>
          <w:color w:val="auto"/>
          <w:sz w:val="20"/>
          <w:szCs w:val="20"/>
          <w:u w:val="single"/>
        </w:rPr>
        <w:tab/>
      </w:r>
      <w:r w:rsidR="00FF555D" w:rsidRPr="00DD29D1">
        <w:rPr>
          <w:b/>
          <w:color w:val="auto"/>
          <w:sz w:val="20"/>
          <w:szCs w:val="20"/>
          <w:u w:val="single"/>
        </w:rPr>
        <w:t>S</w:t>
      </w:r>
      <w:r w:rsidR="00F71BFD" w:rsidRPr="00DD29D1">
        <w:rPr>
          <w:b/>
          <w:color w:val="auto"/>
          <w:sz w:val="20"/>
          <w:szCs w:val="20"/>
          <w:u w:val="single"/>
        </w:rPr>
        <w:t>ayı: 28008</w:t>
      </w:r>
    </w:p>
    <w:p w:rsidR="002D679F" w:rsidRPr="00DD29D1" w:rsidRDefault="002D679F" w:rsidP="002D679F">
      <w:pPr>
        <w:pStyle w:val="NormalWeb"/>
        <w:spacing w:before="0" w:beforeAutospacing="0" w:after="0" w:afterAutospacing="0" w:line="276" w:lineRule="auto"/>
        <w:rPr>
          <w:b/>
          <w:color w:val="auto"/>
          <w:sz w:val="20"/>
          <w:szCs w:val="20"/>
        </w:rPr>
      </w:pPr>
    </w:p>
    <w:p w:rsidR="00DD29D1" w:rsidRPr="00DD29D1" w:rsidRDefault="00DD29D1" w:rsidP="00DD29D1">
      <w:pPr>
        <w:spacing w:after="0"/>
        <w:rPr>
          <w:rFonts w:ascii="Times New Roman" w:eastAsia="Times New Roman" w:hAnsi="Times New Roman" w:cs="Times New Roman"/>
          <w:b/>
          <w:sz w:val="20"/>
          <w:szCs w:val="20"/>
          <w:lang w:eastAsia="tr-TR"/>
        </w:rPr>
      </w:pPr>
      <w:r w:rsidRPr="00DD29D1">
        <w:rPr>
          <w:rFonts w:ascii="Times New Roman" w:eastAsia="Times New Roman" w:hAnsi="Times New Roman" w:cs="Times New Roman"/>
          <w:b/>
          <w:sz w:val="20"/>
          <w:szCs w:val="20"/>
          <w:lang w:eastAsia="tr-TR"/>
        </w:rPr>
        <w:t>Sermaye Piyasası Kurulundan:</w:t>
      </w:r>
    </w:p>
    <w:p w:rsidR="00DD29D1" w:rsidRPr="00DD29D1" w:rsidRDefault="00DD29D1" w:rsidP="00DD29D1">
      <w:pPr>
        <w:spacing w:after="0"/>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center"/>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bCs/>
          <w:sz w:val="20"/>
          <w:szCs w:val="20"/>
          <w:lang w:eastAsia="tr-TR"/>
        </w:rPr>
        <w:t>GAYRİMENKUL YATIRIM ORTAKLIKLARINA İLİŞKİN ESASLAR</w:t>
      </w:r>
    </w:p>
    <w:p w:rsidR="00DD29D1" w:rsidRPr="00DD29D1" w:rsidRDefault="00DD29D1" w:rsidP="00DD29D1">
      <w:pPr>
        <w:spacing w:after="0"/>
        <w:jc w:val="center"/>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bCs/>
          <w:sz w:val="20"/>
          <w:szCs w:val="20"/>
          <w:lang w:eastAsia="tr-TR"/>
        </w:rPr>
        <w:t>TEBLİĞİNDE DEĞİŞİKLİK YAPILMASINA DAİR TEBLİĞ</w:t>
      </w:r>
    </w:p>
    <w:p w:rsidR="00DD29D1" w:rsidRPr="00DD29D1" w:rsidRDefault="00DD29D1" w:rsidP="00DD29D1">
      <w:pPr>
        <w:spacing w:after="0"/>
        <w:jc w:val="center"/>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bCs/>
          <w:caps/>
          <w:sz w:val="20"/>
          <w:szCs w:val="20"/>
          <w:lang w:eastAsia="tr-TR"/>
        </w:rPr>
        <w:t>(Seri: VI, No: 29)</w:t>
      </w:r>
    </w:p>
    <w:p w:rsidR="00DD29D1" w:rsidRPr="00DD29D1" w:rsidRDefault="00DD29D1" w:rsidP="00DD29D1">
      <w:pPr>
        <w:spacing w:after="0"/>
        <w:jc w:val="center"/>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MADDE 1 –</w:t>
      </w:r>
      <w:r w:rsidRPr="00DD29D1">
        <w:rPr>
          <w:rFonts w:ascii="Times New Roman" w:eastAsia="Times New Roman" w:hAnsi="Times New Roman" w:cs="Times New Roman"/>
          <w:sz w:val="20"/>
          <w:szCs w:val="20"/>
          <w:lang w:eastAsia="tr-TR"/>
        </w:rPr>
        <w:t xml:space="preserve"> </w:t>
      </w:r>
      <w:proofErr w:type="gramStart"/>
      <w:r w:rsidRPr="00DD29D1">
        <w:rPr>
          <w:rFonts w:ascii="Times New Roman" w:eastAsia="Times New Roman" w:hAnsi="Times New Roman" w:cs="Times New Roman"/>
          <w:sz w:val="20"/>
          <w:szCs w:val="20"/>
          <w:lang w:eastAsia="tr-TR"/>
        </w:rPr>
        <w:t>8/11/1998</w:t>
      </w:r>
      <w:proofErr w:type="gramEnd"/>
      <w:r w:rsidRPr="00DD29D1">
        <w:rPr>
          <w:rFonts w:ascii="Times New Roman" w:eastAsia="Times New Roman" w:hAnsi="Times New Roman" w:cs="Times New Roman"/>
          <w:sz w:val="20"/>
          <w:szCs w:val="20"/>
          <w:lang w:eastAsia="tr-TR"/>
        </w:rPr>
        <w:t xml:space="preserve"> tarihli ve 23517 sayılı Resmî Gazete’de yayımlanan Seri: VI, No: 11 sayılı Gayrimenkul Yatırım Ortaklıklarına İlişkin Esaslar Tebliğinin 4 üncü maddesinin birinci fıkrasının (ı) ve (i) bentleri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“ı) Portföy: Ortaklığın aktifinde bulundurulan gayrimenkuller, gayrimenkule dayalı projeler, gayrimenkule dayalı haklar, sermaye piyasası araçları, borsa para piyasası ve ters repo işlemleri, Türk Lirası veya yabancı para cinsinden vadesiz/vadeli mevduat ile iştiraklerden ve Kurulca uygun görülen diğer varlıklardan oluşan malvarlığıdır.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i) Aktif toplamı: Bu Tebliğde aksi belirtilmedikçe, ortaklığın </w:t>
      </w:r>
      <w:proofErr w:type="gramStart"/>
      <w:r w:rsidRPr="00DD29D1">
        <w:rPr>
          <w:rFonts w:ascii="Times New Roman" w:eastAsia="Times New Roman" w:hAnsi="Times New Roman" w:cs="Times New Roman"/>
          <w:sz w:val="20"/>
          <w:szCs w:val="20"/>
          <w:lang w:eastAsia="tr-TR"/>
        </w:rPr>
        <w:t>konsolide</w:t>
      </w:r>
      <w:proofErr w:type="gramEnd"/>
      <w:r w:rsidRPr="00DD29D1">
        <w:rPr>
          <w:rFonts w:ascii="Times New Roman" w:eastAsia="Times New Roman" w:hAnsi="Times New Roman" w:cs="Times New Roman"/>
          <w:sz w:val="20"/>
          <w:szCs w:val="20"/>
          <w:lang w:eastAsia="tr-TR"/>
        </w:rPr>
        <w:t xml:space="preserve"> olmayan finansal tablolarında yer alan aktif toplamıdır.”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2 – </w:t>
      </w:r>
      <w:r w:rsidRPr="00DD29D1">
        <w:rPr>
          <w:rFonts w:ascii="Times New Roman" w:eastAsia="Times New Roman" w:hAnsi="Times New Roman" w:cs="Times New Roman"/>
          <w:sz w:val="20"/>
          <w:szCs w:val="20"/>
          <w:lang w:eastAsia="tr-TR"/>
        </w:rPr>
        <w:t xml:space="preserve">Aynı Tebliğin 6 </w:t>
      </w:r>
      <w:proofErr w:type="spellStart"/>
      <w:r w:rsidRPr="00DD29D1">
        <w:rPr>
          <w:rFonts w:ascii="Times New Roman" w:eastAsia="Times New Roman" w:hAnsi="Times New Roman" w:cs="Times New Roman"/>
          <w:sz w:val="20"/>
          <w:szCs w:val="20"/>
          <w:lang w:eastAsia="tr-TR"/>
        </w:rPr>
        <w:t>ncı</w:t>
      </w:r>
      <w:proofErr w:type="spellEnd"/>
      <w:r w:rsidRPr="00DD29D1">
        <w:rPr>
          <w:rFonts w:ascii="Times New Roman" w:eastAsia="Times New Roman" w:hAnsi="Times New Roman" w:cs="Times New Roman"/>
          <w:sz w:val="20"/>
          <w:szCs w:val="20"/>
          <w:lang w:eastAsia="tr-TR"/>
        </w:rPr>
        <w:t xml:space="preserve"> maddesinin üçüncü ve dördüncü fıkraları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“Ortaklıklarca bu Tebliğin 10 uncu maddesinde belirtilen süre içerisinde yapılacak halka arz sonucu asgari % 25’lik halka açıklık oranına ulaşıldıktan sonra da, çıkarılmış sermayenin asgari % 25’i oranındaki paylarının halka arz edilmiş pay niteliğinde olması zorunludur.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Kuruluş veya dönüşüm amacıyla başvuruda bulunan ortaklıkların ortak ve yöneticilerinin bu Tebliğde öngörülen şartları taşımaları, </w:t>
      </w:r>
      <w:proofErr w:type="gramStart"/>
      <w:r w:rsidRPr="00DD29D1">
        <w:rPr>
          <w:rFonts w:ascii="Times New Roman" w:eastAsia="Times New Roman" w:hAnsi="Times New Roman" w:cs="Times New Roman"/>
          <w:sz w:val="20"/>
          <w:szCs w:val="20"/>
          <w:lang w:eastAsia="tr-TR"/>
        </w:rPr>
        <w:t>portföylerinde</w:t>
      </w:r>
      <w:proofErr w:type="gramEnd"/>
      <w:r w:rsidRPr="00DD29D1">
        <w:rPr>
          <w:rFonts w:ascii="Times New Roman" w:eastAsia="Times New Roman" w:hAnsi="Times New Roman" w:cs="Times New Roman"/>
          <w:sz w:val="20"/>
          <w:szCs w:val="20"/>
          <w:lang w:eastAsia="tr-TR"/>
        </w:rPr>
        <w:t xml:space="preserve"> yer alacak/alan varlıkların ve bunların aktif toplamı içindeki ağırlıklarının bu Tebliğde belirtilen sınırlamalara uygun olması zorunludur.”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3 – </w:t>
      </w:r>
      <w:r w:rsidRPr="00DD29D1">
        <w:rPr>
          <w:rFonts w:ascii="Times New Roman" w:eastAsia="Times New Roman" w:hAnsi="Times New Roman" w:cs="Times New Roman"/>
          <w:sz w:val="20"/>
          <w:szCs w:val="20"/>
          <w:lang w:eastAsia="tr-TR"/>
        </w:rPr>
        <w:t>Aynı Tebliğin 15 inci maddesine dördüncü fıkra olarak aşağıdaki fıkra eklenmiştir.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“Halka arzdan önce ortaklık paylarının devri herhangi bir orana bakılmaksızın Kurul iznine tabidir. Bu madde kapsamındaki pay devirlerinde, ortaklıkta pay edinecek yeni ortaklar için de kurucularda aranan şartlar aranır.”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MADDE 4 –</w:t>
      </w:r>
      <w:r w:rsidRPr="00DD29D1">
        <w:rPr>
          <w:rFonts w:ascii="Times New Roman" w:eastAsia="Times New Roman" w:hAnsi="Times New Roman" w:cs="Times New Roman"/>
          <w:sz w:val="20"/>
          <w:szCs w:val="20"/>
          <w:lang w:eastAsia="tr-TR"/>
        </w:rPr>
        <w:t xml:space="preserve"> Aynı Tebliğin 22 </w:t>
      </w:r>
      <w:proofErr w:type="spellStart"/>
      <w:r w:rsidRPr="00DD29D1">
        <w:rPr>
          <w:rFonts w:ascii="Times New Roman" w:eastAsia="Times New Roman" w:hAnsi="Times New Roman" w:cs="Times New Roman"/>
          <w:sz w:val="20"/>
          <w:szCs w:val="20"/>
          <w:lang w:eastAsia="tr-TR"/>
        </w:rPr>
        <w:t>nci</w:t>
      </w:r>
      <w:proofErr w:type="spellEnd"/>
      <w:r w:rsidRPr="00DD29D1">
        <w:rPr>
          <w:rFonts w:ascii="Times New Roman" w:eastAsia="Times New Roman" w:hAnsi="Times New Roman" w:cs="Times New Roman"/>
          <w:sz w:val="20"/>
          <w:szCs w:val="20"/>
          <w:lang w:eastAsia="tr-TR"/>
        </w:rPr>
        <w:t xml:space="preserve"> maddesinin ikinci fıkrası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“Aktif toplamının %10’unu aşması halinde ortaklık; portföyünün para ve sermaye piyasası araçlarından oluşan kısmını, bünyesinde Kurulun lisanslama düzenlemeleri çerçevesinde lisans belgesine sahip yeterli sayıda </w:t>
      </w:r>
      <w:proofErr w:type="gramStart"/>
      <w:r w:rsidRPr="00DD29D1">
        <w:rPr>
          <w:rFonts w:ascii="Times New Roman" w:eastAsia="Times New Roman" w:hAnsi="Times New Roman" w:cs="Times New Roman"/>
          <w:sz w:val="20"/>
          <w:szCs w:val="20"/>
          <w:lang w:eastAsia="tr-TR"/>
        </w:rPr>
        <w:t>portföy</w:t>
      </w:r>
      <w:proofErr w:type="gramEnd"/>
      <w:r w:rsidRPr="00DD29D1">
        <w:rPr>
          <w:rFonts w:ascii="Times New Roman" w:eastAsia="Times New Roman" w:hAnsi="Times New Roman" w:cs="Times New Roman"/>
          <w:sz w:val="20"/>
          <w:szCs w:val="20"/>
          <w:lang w:eastAsia="tr-TR"/>
        </w:rPr>
        <w:t xml:space="preserve"> yöneticisini istihdam etmek suretiyle kendisi yönetebileceği gibi, Kuruldan yatırım danışmanlığı yetki belgesi almış bir kuruluştan imzalanacak yatırım danışmanlığı sözleşmesi kapsamında danışmanlık hizmeti almak suretiyle de yönetebilir. Bunlara ilaveten, portföyün para ve sermaye piyasası araçlarından oluşan kısmının yönetiminin, imzalanacak bir </w:t>
      </w:r>
      <w:proofErr w:type="gramStart"/>
      <w:r w:rsidRPr="00DD29D1">
        <w:rPr>
          <w:rFonts w:ascii="Times New Roman" w:eastAsia="Times New Roman" w:hAnsi="Times New Roman" w:cs="Times New Roman"/>
          <w:sz w:val="20"/>
          <w:szCs w:val="20"/>
          <w:lang w:eastAsia="tr-TR"/>
        </w:rPr>
        <w:t>portföy</w:t>
      </w:r>
      <w:proofErr w:type="gramEnd"/>
      <w:r w:rsidRPr="00DD29D1">
        <w:rPr>
          <w:rFonts w:ascii="Times New Roman" w:eastAsia="Times New Roman" w:hAnsi="Times New Roman" w:cs="Times New Roman"/>
          <w:sz w:val="20"/>
          <w:szCs w:val="20"/>
          <w:lang w:eastAsia="tr-TR"/>
        </w:rPr>
        <w:t xml:space="preserve"> yönetimi sözleşmesi kapsamında Kuruldan portföy yönetimi yetki belgesi almış bir kuruluşa bırakılması da mümkündür. Ortaklıklar tarafından para ve sermaye piyasası araçlarından oluşan portföyün yönetimine ilişkin olarak bu üç yöntemden birinin kullanılması ve bu durumlarda Kurulun </w:t>
      </w:r>
      <w:proofErr w:type="gramStart"/>
      <w:r w:rsidRPr="00DD29D1">
        <w:rPr>
          <w:rFonts w:ascii="Times New Roman" w:eastAsia="Times New Roman" w:hAnsi="Times New Roman" w:cs="Times New Roman"/>
          <w:sz w:val="20"/>
          <w:szCs w:val="20"/>
          <w:lang w:eastAsia="tr-TR"/>
        </w:rPr>
        <w:t>portföy</w:t>
      </w:r>
      <w:proofErr w:type="gramEnd"/>
      <w:r w:rsidRPr="00DD29D1">
        <w:rPr>
          <w:rFonts w:ascii="Times New Roman" w:eastAsia="Times New Roman" w:hAnsi="Times New Roman" w:cs="Times New Roman"/>
          <w:sz w:val="20"/>
          <w:szCs w:val="20"/>
          <w:lang w:eastAsia="tr-TR"/>
        </w:rPr>
        <w:t xml:space="preserve"> yönetimi ve yatırım danışmanlığına ilişkin düzenlemelerine uyulması zorunludur.”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5 – </w:t>
      </w:r>
      <w:r w:rsidRPr="00DD29D1">
        <w:rPr>
          <w:rFonts w:ascii="Times New Roman" w:eastAsia="Times New Roman" w:hAnsi="Times New Roman" w:cs="Times New Roman"/>
          <w:sz w:val="20"/>
          <w:szCs w:val="20"/>
          <w:lang w:eastAsia="tr-TR"/>
        </w:rPr>
        <w:t>Aynı Tebliğin 23 üncü maddesinin birinci fıkrasının (a) bendi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“a) Ortaklık </w:t>
      </w:r>
      <w:proofErr w:type="gramStart"/>
      <w:r w:rsidRPr="00DD29D1">
        <w:rPr>
          <w:rFonts w:ascii="Times New Roman" w:eastAsia="Times New Roman" w:hAnsi="Times New Roman" w:cs="Times New Roman"/>
          <w:sz w:val="20"/>
          <w:szCs w:val="20"/>
          <w:lang w:eastAsia="tr-TR"/>
        </w:rPr>
        <w:t>portföyünü</w:t>
      </w:r>
      <w:proofErr w:type="gramEnd"/>
      <w:r w:rsidRPr="00DD29D1">
        <w:rPr>
          <w:rFonts w:ascii="Times New Roman" w:eastAsia="Times New Roman" w:hAnsi="Times New Roman" w:cs="Times New Roman"/>
          <w:sz w:val="20"/>
          <w:szCs w:val="20"/>
          <w:lang w:eastAsia="tr-TR"/>
        </w:rPr>
        <w:t xml:space="preserve"> oluşturmak, gerektiğinde portföyde değişiklikler yapmak, ortaklık portföyünü çeşitlendirerek yatırım riskini en aza indirecek şekilde dağıtmak, gayrimenkuller, gayrimenkule dayalı işlemler </w:t>
      </w:r>
      <w:r w:rsidRPr="00DD29D1">
        <w:rPr>
          <w:rFonts w:ascii="Times New Roman" w:eastAsia="Times New Roman" w:hAnsi="Times New Roman" w:cs="Times New Roman"/>
          <w:sz w:val="20"/>
          <w:szCs w:val="20"/>
          <w:lang w:eastAsia="tr-TR"/>
        </w:rPr>
        <w:lastRenderedPageBreak/>
        <w:t>ve para ve sermaye piyasası araçları hakkındaki gelişmeleri sürekli olarak izleyerek ortaklık portföyünün yönetimine ilişkin gerekli tedbirleri almak, portföyün geliştirilmesine yönelik araştırmalar yapmak veya yaptırtmak,</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6 – </w:t>
      </w:r>
      <w:r w:rsidRPr="00DD29D1">
        <w:rPr>
          <w:rFonts w:ascii="Times New Roman" w:eastAsia="Times New Roman" w:hAnsi="Times New Roman" w:cs="Times New Roman"/>
          <w:sz w:val="20"/>
          <w:szCs w:val="20"/>
          <w:lang w:eastAsia="tr-TR"/>
        </w:rPr>
        <w:t>Aynı Tebliğin 24 üncü maddesinin birinci fıkrasının (g) bendi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“g) Kredi veremezler, Kurulun finansal raporlamaya ilişkin düzenlemelerinde tanımlanan ilişkili taraflarıyla herhangi bir mal veya hizmet alım satımı işlemine dayanmayan borç alacak ilişkisine giremezler.”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7 – </w:t>
      </w:r>
      <w:r w:rsidRPr="00DD29D1">
        <w:rPr>
          <w:rFonts w:ascii="Times New Roman" w:eastAsia="Times New Roman" w:hAnsi="Times New Roman" w:cs="Times New Roman"/>
          <w:sz w:val="20"/>
          <w:szCs w:val="20"/>
          <w:lang w:eastAsia="tr-TR"/>
        </w:rPr>
        <w:t>Aynı Tebliğin 25 inci maddesinin birinci fıkrasının (i) ve (n) bentleri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“i) Mülkiyetlerini edinmek kaydıyla yurt dışındaki gayrimenkulleri alıp satabilirler ve yabancı sermaye piyasası araçlarına yatırım yapabilirler.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n) Mülkiyeti ortaklığa ait olmayan ve ipotek tesis edilmiş arsalar üzerinde, tesis edilen ipoteğin bedelinin söz konusu arsa için en son hazırlanan değerleme raporunda ulaşılan arsa değerinin %50’sini geçmemesi şartıyla, bu maddenin (e) bendi kapsamında projeler geliştirebilirler. Ancak üzerinde proje geliştirilecek ipotekli arsaların ipotek bedellerinin, ortaklığın kamuya açıkladığı bağımsız denetimden geçmiş son finansal tablolarında yer alan aktif toplamının %10’unu aşmaması gereklidir.”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8 – </w:t>
      </w:r>
      <w:r w:rsidRPr="00DD29D1">
        <w:rPr>
          <w:rFonts w:ascii="Times New Roman" w:eastAsia="Times New Roman" w:hAnsi="Times New Roman" w:cs="Times New Roman"/>
          <w:sz w:val="20"/>
          <w:szCs w:val="20"/>
          <w:lang w:eastAsia="tr-TR"/>
        </w:rPr>
        <w:t xml:space="preserve">Aynı Tebliğin 27 </w:t>
      </w:r>
      <w:proofErr w:type="spellStart"/>
      <w:r w:rsidRPr="00DD29D1">
        <w:rPr>
          <w:rFonts w:ascii="Times New Roman" w:eastAsia="Times New Roman" w:hAnsi="Times New Roman" w:cs="Times New Roman"/>
          <w:sz w:val="20"/>
          <w:szCs w:val="20"/>
          <w:lang w:eastAsia="tr-TR"/>
        </w:rPr>
        <w:t>nci</w:t>
      </w:r>
      <w:proofErr w:type="spellEnd"/>
      <w:r w:rsidRPr="00DD29D1">
        <w:rPr>
          <w:rFonts w:ascii="Times New Roman" w:eastAsia="Times New Roman" w:hAnsi="Times New Roman" w:cs="Times New Roman"/>
          <w:sz w:val="20"/>
          <w:szCs w:val="20"/>
          <w:lang w:eastAsia="tr-TR"/>
        </w:rPr>
        <w:t xml:space="preserve"> maddesi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27 – </w:t>
      </w:r>
      <w:r w:rsidRPr="00DD29D1">
        <w:rPr>
          <w:rFonts w:ascii="Times New Roman" w:eastAsia="Times New Roman" w:hAnsi="Times New Roman" w:cs="Times New Roman"/>
          <w:sz w:val="20"/>
          <w:szCs w:val="20"/>
          <w:lang w:eastAsia="tr-TR"/>
        </w:rPr>
        <w:t>Ortaklıklar,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a) Gayrimenkullere, gayrimenkullere dayalı haklara ve gayrimenkule dayalı projelere aktif toplamının en az % 50’si oranında yatırım yapmak zorundadırlar.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proofErr w:type="gramStart"/>
      <w:r w:rsidRPr="00DD29D1">
        <w:rPr>
          <w:rFonts w:ascii="Times New Roman" w:eastAsia="Times New Roman" w:hAnsi="Times New Roman" w:cs="Times New Roman"/>
          <w:sz w:val="20"/>
          <w:szCs w:val="20"/>
          <w:lang w:eastAsia="tr-TR"/>
        </w:rPr>
        <w:t xml:space="preserve">b) Bu Tebliğin 25 inci maddesinin birinci fıkrasının (a) bendinde yazılı varlıklar ile 32/A maddesinde belirtilen iştiraklerin tamamına en fazla aktif toplamının % 50’si oranında, bu varlıklar içerisinde yer alan yatırım amaçlı Türk Lirası veya yabancı para cinsinden vadesiz ve vadeli mevduata ise en fazla aktif toplamının % 10’u oranında yatırım yapabilirler. </w:t>
      </w:r>
      <w:proofErr w:type="gramEnd"/>
      <w:r w:rsidRPr="00DD29D1">
        <w:rPr>
          <w:rFonts w:ascii="Times New Roman" w:eastAsia="Times New Roman" w:hAnsi="Times New Roman" w:cs="Times New Roman"/>
          <w:sz w:val="20"/>
          <w:szCs w:val="20"/>
          <w:lang w:eastAsia="tr-TR"/>
        </w:rPr>
        <w:t xml:space="preserve">Portföye alınan varlıkların veya projelerin maliyetlerine ilişkin bedel ödemeleri belirli </w:t>
      </w:r>
      <w:proofErr w:type="spellStart"/>
      <w:r w:rsidRPr="00DD29D1">
        <w:rPr>
          <w:rFonts w:ascii="Times New Roman" w:eastAsia="Times New Roman" w:hAnsi="Times New Roman" w:cs="Times New Roman"/>
          <w:sz w:val="20"/>
          <w:szCs w:val="20"/>
          <w:lang w:eastAsia="tr-TR"/>
        </w:rPr>
        <w:t>hakedişler</w:t>
      </w:r>
      <w:proofErr w:type="spellEnd"/>
      <w:r w:rsidRPr="00DD29D1">
        <w:rPr>
          <w:rFonts w:ascii="Times New Roman" w:eastAsia="Times New Roman" w:hAnsi="Times New Roman" w:cs="Times New Roman"/>
          <w:sz w:val="20"/>
          <w:szCs w:val="20"/>
          <w:lang w:eastAsia="tr-TR"/>
        </w:rPr>
        <w:t xml:space="preserve"> karşılığında veya taksitler halinde yapılıyorsa, bunlara karşılık gelen nakit fazlaları da bu Tebliğin 25 inci maddesinin birinci fıkrasının (a) bendinde yazılı varlıklar aracılığıyla değerlendirilebilir. Finansal tabloların hazırlandığı yıl ve takip eden iki yıl içerisinde bu kapsamda yapılacak harcamaların tutarı, % 50 oranının hesaplanmasında portföyde yer alan bu Tebliğin 25 inci maddesinin birinci fıkrasının (a) bendinde yazılı varlıkların toplam tutarından indirilir ve bu maddenin birinci fıkrasının (a) bendi kapsamında yapılacak hesaplamaya </w:t>
      </w:r>
      <w:proofErr w:type="gramStart"/>
      <w:r w:rsidRPr="00DD29D1">
        <w:rPr>
          <w:rFonts w:ascii="Times New Roman" w:eastAsia="Times New Roman" w:hAnsi="Times New Roman" w:cs="Times New Roman"/>
          <w:sz w:val="20"/>
          <w:szCs w:val="20"/>
          <w:lang w:eastAsia="tr-TR"/>
        </w:rPr>
        <w:t>dahil</w:t>
      </w:r>
      <w:proofErr w:type="gramEnd"/>
      <w:r w:rsidRPr="00DD29D1">
        <w:rPr>
          <w:rFonts w:ascii="Times New Roman" w:eastAsia="Times New Roman" w:hAnsi="Times New Roman" w:cs="Times New Roman"/>
          <w:sz w:val="20"/>
          <w:szCs w:val="20"/>
          <w:lang w:eastAsia="tr-TR"/>
        </w:rPr>
        <w:t xml:space="preserve"> edilir. Ancak, finansal tablonun hazırlandığı tarihten önceki dönemlere ilişkin planlanan harcamalardan gerçekleştirilmemiş olanlar, indirim konusu yapılamaz. Belirtilen indirimin yapılabilmesi için projenin finansal tablolara </w:t>
      </w:r>
      <w:proofErr w:type="gramStart"/>
      <w:r w:rsidRPr="00DD29D1">
        <w:rPr>
          <w:rFonts w:ascii="Times New Roman" w:eastAsia="Times New Roman" w:hAnsi="Times New Roman" w:cs="Times New Roman"/>
          <w:sz w:val="20"/>
          <w:szCs w:val="20"/>
          <w:lang w:eastAsia="tr-TR"/>
        </w:rPr>
        <w:t>dahil</w:t>
      </w:r>
      <w:proofErr w:type="gramEnd"/>
      <w:r w:rsidRPr="00DD29D1">
        <w:rPr>
          <w:rFonts w:ascii="Times New Roman" w:eastAsia="Times New Roman" w:hAnsi="Times New Roman" w:cs="Times New Roman"/>
          <w:sz w:val="20"/>
          <w:szCs w:val="20"/>
          <w:lang w:eastAsia="tr-TR"/>
        </w:rPr>
        <w:t xml:space="preserve"> edilmesinden önce, projenin tamamlanmasına kadar olan süre için planlanan yıllık harcama tutarları Kurula bildirilir. Harcamalara ilişkin planlarda yapılan değişiklikler nedeniyle, % 50 oranının hesaplanmasında dikkate alınmak üzere önceden Kurula bildirilmiş olan tutarın değiştirilmesi Kurul iznine tabidir.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c) Bu Tebliğin 25 inci maddesinin birinci fıkrasının (i) bendinde belirtilen yabancı gayrimenkuller ve yabancı sermaye piyasası araçları ile 32/A maddesinin birinci fıkrasının (d) bendinde belirtilen iştiraklere aktif toplamının en fazla % 49’u oranında yatırım yapabilirler.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d) Portföyünde bulunan ve alımından itibaren beş yıl geçmesine rağmen üzerlerinde proje geliştirilmesine yönelik herhangi bir tasarrufta bulunulmayan arsa ve arazilerin oranı aktif toplamının %20’sini aşamaz. Şu kadarki gayrimenkul yatırım ortaklığına dönüşen ortaklıkların sahip olduğu bu nitelikteki arsa ve araziler için söz konusu süre ortaklığın gayrimenkul yatırım ortaklığı olarak tescil edildiği tarihten itibaren başlar.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lastRenderedPageBreak/>
        <w:t xml:space="preserve">e) Hesap dönemi sonunda hazırlayıp kamuya açıkladıkları finansal tablolarına göre bu fıkranın (a) bendinde tanımlanan asgari % 50 oranını sağlayamazlarsa Kurula başvuruda bulunurlar. Kurul yapacağı değerlendirmede bir defaya mahsus olmak üzere ortaklığa bir yıl süre tanıyabilir. Ancak, ortaklıklar Kurul tarafından verilen bu süre sonunda da asgari % 50 oranını sağlayamazlarsa, sürenin bitiminden itibaren en geç bir ay içinde esas sözleşme hükümlerini gayrimenkul yatırım ortaklığı faaliyetini kapsamayacak şekilde değiştirmek üzere Kurula başvurmakla yükümlüdürler. Ortaklıklar bu değişiklikleri yapmadıkları takdirde, </w:t>
      </w:r>
      <w:proofErr w:type="spellStart"/>
      <w:r w:rsidRPr="00DD29D1">
        <w:rPr>
          <w:rFonts w:ascii="Times New Roman" w:eastAsia="Times New Roman" w:hAnsi="Times New Roman" w:cs="Times New Roman"/>
          <w:sz w:val="20"/>
          <w:szCs w:val="20"/>
          <w:lang w:eastAsia="tr-TR"/>
        </w:rPr>
        <w:t>TTK'nın</w:t>
      </w:r>
      <w:proofErr w:type="spellEnd"/>
      <w:r w:rsidRPr="00DD29D1">
        <w:rPr>
          <w:rFonts w:ascii="Times New Roman" w:eastAsia="Times New Roman" w:hAnsi="Times New Roman" w:cs="Times New Roman"/>
          <w:sz w:val="20"/>
          <w:szCs w:val="20"/>
          <w:lang w:eastAsia="tr-TR"/>
        </w:rPr>
        <w:t xml:space="preserve"> 434 üncü maddesinin birinci fıkrasının (2) ve (6) numaralı bentleri hükümleri gereğince münfesih addolunur.”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9 – </w:t>
      </w:r>
      <w:r w:rsidRPr="00DD29D1">
        <w:rPr>
          <w:rFonts w:ascii="Times New Roman" w:eastAsia="Times New Roman" w:hAnsi="Times New Roman" w:cs="Times New Roman"/>
          <w:sz w:val="20"/>
          <w:szCs w:val="20"/>
          <w:lang w:eastAsia="tr-TR"/>
        </w:rPr>
        <w:t>Aynı Tebliğin 30 uncu maddesinin ikinci fıkrası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“Belirli alanlarda faaliyet göstermek veya belirli projelere yatırım yapmak üzere kurulan ortaklıkların aktif toplamlarının en az %75 inin unvanlarında ve/veya esas sözleşmelerinde belirtilen varlıklardan oluşması zorunludur.”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MADDE 10 –</w:t>
      </w:r>
      <w:r w:rsidRPr="00DD29D1">
        <w:rPr>
          <w:rFonts w:ascii="Times New Roman" w:eastAsia="Times New Roman" w:hAnsi="Times New Roman" w:cs="Times New Roman"/>
          <w:sz w:val="20"/>
          <w:szCs w:val="20"/>
          <w:lang w:eastAsia="tr-TR"/>
        </w:rPr>
        <w:t xml:space="preserve"> Aynı Tebliğin 32/A maddesinin ikinci fıkrası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“Ancak ortaklıklar tarafından işletmeci şirketlere yapılacak iştirak, ortaklıkların hesap dönemi sonunda hazırlayıp kamuya açıkladıkları finansal tablolarında yer alan aktif toplamının % 10’undan fazla olamaz. Bu maddede belirtilen iştiraklerde 26 </w:t>
      </w:r>
      <w:proofErr w:type="spellStart"/>
      <w:r w:rsidRPr="00DD29D1">
        <w:rPr>
          <w:rFonts w:ascii="Times New Roman" w:eastAsia="Times New Roman" w:hAnsi="Times New Roman" w:cs="Times New Roman"/>
          <w:sz w:val="20"/>
          <w:szCs w:val="20"/>
          <w:lang w:eastAsia="tr-TR"/>
        </w:rPr>
        <w:t>ncımaddenin</w:t>
      </w:r>
      <w:proofErr w:type="spellEnd"/>
      <w:r w:rsidRPr="00DD29D1">
        <w:rPr>
          <w:rFonts w:ascii="Times New Roman" w:eastAsia="Times New Roman" w:hAnsi="Times New Roman" w:cs="Times New Roman"/>
          <w:sz w:val="20"/>
          <w:szCs w:val="20"/>
          <w:lang w:eastAsia="tr-TR"/>
        </w:rPr>
        <w:t xml:space="preserve"> birinci fıkrasının (a) ve (c) bentleri uygulanmaz.”</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11 – </w:t>
      </w:r>
      <w:r w:rsidRPr="00DD29D1">
        <w:rPr>
          <w:rFonts w:ascii="Times New Roman" w:eastAsia="Times New Roman" w:hAnsi="Times New Roman" w:cs="Times New Roman"/>
          <w:sz w:val="20"/>
          <w:szCs w:val="20"/>
          <w:lang w:eastAsia="tr-TR"/>
        </w:rPr>
        <w:t>Aynı Tebliğin 34 üncü maddesi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34 – </w:t>
      </w:r>
      <w:r w:rsidRPr="00DD29D1">
        <w:rPr>
          <w:rFonts w:ascii="Times New Roman" w:eastAsia="Times New Roman" w:hAnsi="Times New Roman" w:cs="Times New Roman"/>
          <w:sz w:val="20"/>
          <w:szCs w:val="20"/>
          <w:lang w:eastAsia="tr-TR"/>
        </w:rPr>
        <w:t xml:space="preserve">Kat karşılığı ve </w:t>
      </w:r>
      <w:proofErr w:type="gramStart"/>
      <w:r w:rsidRPr="00DD29D1">
        <w:rPr>
          <w:rFonts w:ascii="Times New Roman" w:eastAsia="Times New Roman" w:hAnsi="Times New Roman" w:cs="Times New Roman"/>
          <w:sz w:val="20"/>
          <w:szCs w:val="20"/>
          <w:lang w:eastAsia="tr-TR"/>
        </w:rPr>
        <w:t>hasılat</w:t>
      </w:r>
      <w:proofErr w:type="gramEnd"/>
      <w:r w:rsidRPr="00DD29D1">
        <w:rPr>
          <w:rFonts w:ascii="Times New Roman" w:eastAsia="Times New Roman" w:hAnsi="Times New Roman" w:cs="Times New Roman"/>
          <w:sz w:val="20"/>
          <w:szCs w:val="20"/>
          <w:lang w:eastAsia="tr-TR"/>
        </w:rPr>
        <w:t xml:space="preserve"> paylaşımı yapılan projelerde, projenin gerçekleştirileceği arsaların sahiplerince ortaklığa, bedelsiz veya düşük bedel karşılığı ortaklık lehine üst hakkı tesis edilmesi veya arsanın devredilmesi halinde, projenin teminatı olarak arsa sahibi lehine ortaklık portföyünde bulunan gayrimenkuller üzerine ipotek veya sınırlı ayni haklar tesis edilmesi mümkündür. Ayrıca gayrimenkullerin, gayrimenkul projelerinin ve gayrimenkule dayalı hakların satın alınması sırasında yalnızca bu işlemlerin finansmanına ilişkin olarak ya da yatırımlar için kredi temini amacıyla </w:t>
      </w:r>
      <w:proofErr w:type="gramStart"/>
      <w:r w:rsidRPr="00DD29D1">
        <w:rPr>
          <w:rFonts w:ascii="Times New Roman" w:eastAsia="Times New Roman" w:hAnsi="Times New Roman" w:cs="Times New Roman"/>
          <w:sz w:val="20"/>
          <w:szCs w:val="20"/>
          <w:lang w:eastAsia="tr-TR"/>
        </w:rPr>
        <w:t>portföydeki</w:t>
      </w:r>
      <w:proofErr w:type="gramEnd"/>
      <w:r w:rsidRPr="00DD29D1">
        <w:rPr>
          <w:rFonts w:ascii="Times New Roman" w:eastAsia="Times New Roman" w:hAnsi="Times New Roman" w:cs="Times New Roman"/>
          <w:sz w:val="20"/>
          <w:szCs w:val="20"/>
          <w:lang w:eastAsia="tr-TR"/>
        </w:rPr>
        <w:t xml:space="preserve"> varlıklar üzerinde rehin ve diğer sınırlı ayni haklar tesis edilebilir. Portföydeki varlıkların üzerinde bu amaçlar dışında hiçbir suretle üçüncü kişiler lehine tasarrufta bulunulamaz. Bu madde kapsamında temin edilecek krediler de 35 inci madde kapsamında değerlendirilir.”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12 – </w:t>
      </w:r>
      <w:r w:rsidRPr="00DD29D1">
        <w:rPr>
          <w:rFonts w:ascii="Times New Roman" w:eastAsia="Times New Roman" w:hAnsi="Times New Roman" w:cs="Times New Roman"/>
          <w:sz w:val="20"/>
          <w:szCs w:val="20"/>
          <w:lang w:eastAsia="tr-TR"/>
        </w:rPr>
        <w:t>Aynı Tebliğin 35 inci maddesinin birinci ve üçüncü fıkraları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“Ortaklıklar, kısa süreli fon ihtiyaçlarını veya portföyleri ile ilgili maliyetlerini karşılamak amacıyla hesap dönemi sonunda hazırlayıp kamuya açıkladıkları finansal tablolarında yer alan </w:t>
      </w:r>
      <w:proofErr w:type="gramStart"/>
      <w:r w:rsidRPr="00DD29D1">
        <w:rPr>
          <w:rFonts w:ascii="Times New Roman" w:eastAsia="Times New Roman" w:hAnsi="Times New Roman" w:cs="Times New Roman"/>
          <w:sz w:val="20"/>
          <w:szCs w:val="20"/>
          <w:lang w:eastAsia="tr-TR"/>
        </w:rPr>
        <w:t>konsolide</w:t>
      </w:r>
      <w:proofErr w:type="gramEnd"/>
      <w:r w:rsidRPr="00DD29D1">
        <w:rPr>
          <w:rFonts w:ascii="Times New Roman" w:eastAsia="Times New Roman" w:hAnsi="Times New Roman" w:cs="Times New Roman"/>
          <w:sz w:val="20"/>
          <w:szCs w:val="20"/>
          <w:lang w:eastAsia="tr-TR"/>
        </w:rPr>
        <w:t xml:space="preserve"> olmayan </w:t>
      </w:r>
      <w:proofErr w:type="spellStart"/>
      <w:r w:rsidRPr="00DD29D1">
        <w:rPr>
          <w:rFonts w:ascii="Times New Roman" w:eastAsia="Times New Roman" w:hAnsi="Times New Roman" w:cs="Times New Roman"/>
          <w:sz w:val="20"/>
          <w:szCs w:val="20"/>
          <w:lang w:eastAsia="tr-TR"/>
        </w:rPr>
        <w:t>özsermayesinin</w:t>
      </w:r>
      <w:proofErr w:type="spellEnd"/>
      <w:r w:rsidRPr="00DD29D1">
        <w:rPr>
          <w:rFonts w:ascii="Times New Roman" w:eastAsia="Times New Roman" w:hAnsi="Times New Roman" w:cs="Times New Roman"/>
          <w:sz w:val="20"/>
          <w:szCs w:val="20"/>
          <w:lang w:eastAsia="tr-TR"/>
        </w:rPr>
        <w:t xml:space="preserve"> beş katı kadar kredi kullanabilirler. Söz konusu kredilerin üst sınırının hesaplanmasında ortaklığın finansal kiralama işlemlerinden doğan borçları ve </w:t>
      </w:r>
      <w:proofErr w:type="spellStart"/>
      <w:r w:rsidRPr="00DD29D1">
        <w:rPr>
          <w:rFonts w:ascii="Times New Roman" w:eastAsia="Times New Roman" w:hAnsi="Times New Roman" w:cs="Times New Roman"/>
          <w:sz w:val="20"/>
          <w:szCs w:val="20"/>
          <w:lang w:eastAsia="tr-TR"/>
        </w:rPr>
        <w:t>gayrinakdi</w:t>
      </w:r>
      <w:proofErr w:type="spellEnd"/>
      <w:r w:rsidRPr="00DD29D1">
        <w:rPr>
          <w:rFonts w:ascii="Times New Roman" w:eastAsia="Times New Roman" w:hAnsi="Times New Roman" w:cs="Times New Roman"/>
          <w:sz w:val="20"/>
          <w:szCs w:val="20"/>
          <w:lang w:eastAsia="tr-TR"/>
        </w:rPr>
        <w:t xml:space="preserve"> kredileri de dikkate alınır.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Ortaklıklar, </w:t>
      </w:r>
      <w:proofErr w:type="gramStart"/>
      <w:r w:rsidRPr="00DD29D1">
        <w:rPr>
          <w:rFonts w:ascii="Times New Roman" w:eastAsia="Times New Roman" w:hAnsi="Times New Roman" w:cs="Times New Roman"/>
          <w:sz w:val="20"/>
          <w:szCs w:val="20"/>
          <w:lang w:eastAsia="tr-TR"/>
        </w:rPr>
        <w:t>portföydeki</w:t>
      </w:r>
      <w:proofErr w:type="gramEnd"/>
      <w:r w:rsidRPr="00DD29D1">
        <w:rPr>
          <w:rFonts w:ascii="Times New Roman" w:eastAsia="Times New Roman" w:hAnsi="Times New Roman" w:cs="Times New Roman"/>
          <w:sz w:val="20"/>
          <w:szCs w:val="20"/>
          <w:lang w:eastAsia="tr-TR"/>
        </w:rPr>
        <w:t xml:space="preserve"> gayrimenkullerin satış veya satış vaadi sözleşmeleri ile satışından kaynaklanan senetli alacaklarının teminatı altında ve Kurul düzenlemeleri çerçevesinde varlık teminatlı menkul kıymet ihraç edebilirler.”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13 – </w:t>
      </w:r>
      <w:r w:rsidRPr="00DD29D1">
        <w:rPr>
          <w:rFonts w:ascii="Times New Roman" w:eastAsia="Times New Roman" w:hAnsi="Times New Roman" w:cs="Times New Roman"/>
          <w:sz w:val="20"/>
          <w:szCs w:val="20"/>
          <w:lang w:eastAsia="tr-TR"/>
        </w:rPr>
        <w:t>Aynı Tebliğin 38 inci maddesi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38 – </w:t>
      </w:r>
      <w:r w:rsidRPr="00DD29D1">
        <w:rPr>
          <w:rFonts w:ascii="Times New Roman" w:eastAsia="Times New Roman" w:hAnsi="Times New Roman" w:cs="Times New Roman"/>
          <w:sz w:val="20"/>
          <w:szCs w:val="20"/>
          <w:lang w:eastAsia="tr-TR"/>
        </w:rPr>
        <w:t>Ortaklıklar aşağıda sayılan işlemler için, Kurulca listeye alınmış ve 39 uncu maddede sayılan nitelikleri haiz bir gayrimenkul değerleme şirketine, işleme konu olan varlıkların ve hakların rayiç değerlerini ve rayiç kira bedellerini tespit ettirmekle yükümlüdürler.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a) Portföyde yer alan gayrimenkullerin, hakların ve gayrimenkule dayalı projelerin alım veya satımı,</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b) Portföyde yer alan gayrimenkullerin kiraya verilmesi,</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c) Kiraya verilmek üzere gayrimenkul kiralanması,</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ç) Portföyde yer alan gayrimenkullerden kiraya verilenlerin kira sözleşmelerinin yenilenmesi veya uzatılması,</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d) Gayrimenkul ipoteği kabul edilmesi,</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lastRenderedPageBreak/>
        <w:t xml:space="preserve">e) Gayrimenkule dayalı projelerin inşaatına başlanabilmesi için, yasal </w:t>
      </w:r>
      <w:proofErr w:type="gramStart"/>
      <w:r w:rsidRPr="00DD29D1">
        <w:rPr>
          <w:rFonts w:ascii="Times New Roman" w:eastAsia="Times New Roman" w:hAnsi="Times New Roman" w:cs="Times New Roman"/>
          <w:sz w:val="20"/>
          <w:szCs w:val="20"/>
          <w:lang w:eastAsia="tr-TR"/>
        </w:rPr>
        <w:t>prosedüre</w:t>
      </w:r>
      <w:proofErr w:type="gramEnd"/>
      <w:r w:rsidRPr="00DD29D1">
        <w:rPr>
          <w:rFonts w:ascii="Times New Roman" w:eastAsia="Times New Roman" w:hAnsi="Times New Roman" w:cs="Times New Roman"/>
          <w:sz w:val="20"/>
          <w:szCs w:val="20"/>
          <w:lang w:eastAsia="tr-TR"/>
        </w:rPr>
        <w:t xml:space="preserve"> uyulduğunun ve gerekli belgelerin tam ve doğru olarak mevcut olduğunun tespit edilmesi,</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f) Portföyde yer alan ve ortaklığın hesap döneminin son üç ayı içerisinde herhangi bir nedenle rayiç değeri tespit edilmemiş olan varlıkların </w:t>
      </w:r>
      <w:proofErr w:type="gramStart"/>
      <w:r w:rsidRPr="00DD29D1">
        <w:rPr>
          <w:rFonts w:ascii="Times New Roman" w:eastAsia="Times New Roman" w:hAnsi="Times New Roman" w:cs="Times New Roman"/>
          <w:sz w:val="20"/>
          <w:szCs w:val="20"/>
          <w:lang w:eastAsia="tr-TR"/>
        </w:rPr>
        <w:t>yıl sonu</w:t>
      </w:r>
      <w:proofErr w:type="gramEnd"/>
      <w:r w:rsidRPr="00DD29D1">
        <w:rPr>
          <w:rFonts w:ascii="Times New Roman" w:eastAsia="Times New Roman" w:hAnsi="Times New Roman" w:cs="Times New Roman"/>
          <w:sz w:val="20"/>
          <w:szCs w:val="20"/>
          <w:lang w:eastAsia="tr-TR"/>
        </w:rPr>
        <w:t xml:space="preserve"> değerlerinin tespiti,</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g) Bu maddenin birinci fıkrasının (a) bendinde yer alan varlıkların niteliğinin veya cinsinin değiştirilmesi,</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ğ) Ortaklığa ayni sermaye konulması.”</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14 – </w:t>
      </w:r>
      <w:r w:rsidRPr="00DD29D1">
        <w:rPr>
          <w:rFonts w:ascii="Times New Roman" w:eastAsia="Times New Roman" w:hAnsi="Times New Roman" w:cs="Times New Roman"/>
          <w:sz w:val="20"/>
          <w:szCs w:val="20"/>
          <w:lang w:eastAsia="tr-TR"/>
        </w:rPr>
        <w:t>Aynı Tebliğin 41 inci maddesinin birinci ve ikinci fıkrası yürürlükten kaldırılmıştır.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MADDE 15 –</w:t>
      </w:r>
      <w:r w:rsidRPr="00DD29D1">
        <w:rPr>
          <w:rFonts w:ascii="Times New Roman" w:eastAsia="Times New Roman" w:hAnsi="Times New Roman" w:cs="Times New Roman"/>
          <w:sz w:val="20"/>
          <w:szCs w:val="20"/>
          <w:lang w:eastAsia="tr-TR"/>
        </w:rPr>
        <w:t xml:space="preserve"> Aynı Tebliğin 42 </w:t>
      </w:r>
      <w:proofErr w:type="spellStart"/>
      <w:r w:rsidRPr="00DD29D1">
        <w:rPr>
          <w:rFonts w:ascii="Times New Roman" w:eastAsia="Times New Roman" w:hAnsi="Times New Roman" w:cs="Times New Roman"/>
          <w:sz w:val="20"/>
          <w:szCs w:val="20"/>
          <w:lang w:eastAsia="tr-TR"/>
        </w:rPr>
        <w:t>nci</w:t>
      </w:r>
      <w:proofErr w:type="spellEnd"/>
      <w:r w:rsidRPr="00DD29D1">
        <w:rPr>
          <w:rFonts w:ascii="Times New Roman" w:eastAsia="Times New Roman" w:hAnsi="Times New Roman" w:cs="Times New Roman"/>
          <w:sz w:val="20"/>
          <w:szCs w:val="20"/>
          <w:lang w:eastAsia="tr-TR"/>
        </w:rPr>
        <w:t xml:space="preserve"> maddesi başlığı ile birlikte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“Finansal raporlara ilişkin esaslar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42 – </w:t>
      </w:r>
      <w:r w:rsidRPr="00DD29D1">
        <w:rPr>
          <w:rFonts w:ascii="Times New Roman" w:eastAsia="Times New Roman" w:hAnsi="Times New Roman" w:cs="Times New Roman"/>
          <w:sz w:val="20"/>
          <w:szCs w:val="20"/>
          <w:lang w:eastAsia="tr-TR"/>
        </w:rPr>
        <w:t>Ortaklıklar, finansal tablolarının hazırlanmasında ve kamuya açıklanmasında, Kurulun Seri: XI, No: 29 sayılı Sermaye Piyasasında Finansal Raporlamaya İlişkin Esaslar Tebliği hükümlerine uymak zorundadırlar.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Finansal tablolarda, bu Tebliğde belirtilen </w:t>
      </w:r>
      <w:proofErr w:type="gramStart"/>
      <w:r w:rsidRPr="00DD29D1">
        <w:rPr>
          <w:rFonts w:ascii="Times New Roman" w:eastAsia="Times New Roman" w:hAnsi="Times New Roman" w:cs="Times New Roman"/>
          <w:sz w:val="20"/>
          <w:szCs w:val="20"/>
          <w:lang w:eastAsia="tr-TR"/>
        </w:rPr>
        <w:t>portföy</w:t>
      </w:r>
      <w:proofErr w:type="gramEnd"/>
      <w:r w:rsidRPr="00DD29D1">
        <w:rPr>
          <w:rFonts w:ascii="Times New Roman" w:eastAsia="Times New Roman" w:hAnsi="Times New Roman" w:cs="Times New Roman"/>
          <w:sz w:val="20"/>
          <w:szCs w:val="20"/>
          <w:lang w:eastAsia="tr-TR"/>
        </w:rPr>
        <w:t xml:space="preserve"> sınırlamalarının kontrolüne ilişkin bilgilere, konsolide olmayan finansal tablo hesap kalemleri kullanılmak suretiyle, Kurulca belirlenen şekilde yer verilir.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Ortaklıklarca, Kurulun Seri: XI, No: 29 sayılı Sermaye Piyasasında Finansal Raporlamaya İlişkin Esaslar Tebliği çerçevesinde üçer aylık dönemler itibarıyla hazırlanan ve kamuya açıklanan yönetim kurulu faaliyet raporlarında ayrıca;</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a) Portföyde yer alan varlıklara ilişkin olarak hazırlanan </w:t>
      </w:r>
      <w:proofErr w:type="gramStart"/>
      <w:r w:rsidRPr="00DD29D1">
        <w:rPr>
          <w:rFonts w:ascii="Times New Roman" w:eastAsia="Times New Roman" w:hAnsi="Times New Roman" w:cs="Times New Roman"/>
          <w:sz w:val="20"/>
          <w:szCs w:val="20"/>
          <w:lang w:eastAsia="tr-TR"/>
        </w:rPr>
        <w:t>ekspertiz</w:t>
      </w:r>
      <w:proofErr w:type="gramEnd"/>
      <w:r w:rsidRPr="00DD29D1">
        <w:rPr>
          <w:rFonts w:ascii="Times New Roman" w:eastAsia="Times New Roman" w:hAnsi="Times New Roman" w:cs="Times New Roman"/>
          <w:sz w:val="20"/>
          <w:szCs w:val="20"/>
          <w:lang w:eastAsia="tr-TR"/>
        </w:rPr>
        <w:t xml:space="preserve"> raporlarının özetine,</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b) Son üç aylık döneme ilişkin gelişmelerin özetine,</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c) Projelere ilişkin mevcut durum, tamamlanma oranı ve süresi, öngörülerin gerçekleşme durumu, sorunlar gibi ilave açıklamalara,</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ç) Portföyde yer alan varlıklardan kiraya verilenler ile ilgili ayrıntılı bilgilere,</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d) Ortaklığın ilgili hesap dönemine ait karşılaştırmalı finansal tablolarına,</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e) Bu maddenin ikinci fıkrası kapsamında tespit edilen </w:t>
      </w:r>
      <w:proofErr w:type="gramStart"/>
      <w:r w:rsidRPr="00DD29D1">
        <w:rPr>
          <w:rFonts w:ascii="Times New Roman" w:eastAsia="Times New Roman" w:hAnsi="Times New Roman" w:cs="Times New Roman"/>
          <w:sz w:val="20"/>
          <w:szCs w:val="20"/>
          <w:lang w:eastAsia="tr-TR"/>
        </w:rPr>
        <w:t>portföy</w:t>
      </w:r>
      <w:proofErr w:type="gramEnd"/>
      <w:r w:rsidRPr="00DD29D1">
        <w:rPr>
          <w:rFonts w:ascii="Times New Roman" w:eastAsia="Times New Roman" w:hAnsi="Times New Roman" w:cs="Times New Roman"/>
          <w:sz w:val="20"/>
          <w:szCs w:val="20"/>
          <w:lang w:eastAsia="tr-TR"/>
        </w:rPr>
        <w:t xml:space="preserve"> sınırlamalarının kontrolüne ilişkin bilgilere,</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proofErr w:type="gramStart"/>
      <w:r w:rsidRPr="00DD29D1">
        <w:rPr>
          <w:rFonts w:ascii="Times New Roman" w:eastAsia="Times New Roman" w:hAnsi="Times New Roman" w:cs="Times New Roman"/>
          <w:sz w:val="20"/>
          <w:szCs w:val="20"/>
          <w:lang w:eastAsia="tr-TR"/>
        </w:rPr>
        <w:t>yer</w:t>
      </w:r>
      <w:proofErr w:type="gramEnd"/>
      <w:r w:rsidRPr="00DD29D1">
        <w:rPr>
          <w:rFonts w:ascii="Times New Roman" w:eastAsia="Times New Roman" w:hAnsi="Times New Roman" w:cs="Times New Roman"/>
          <w:sz w:val="20"/>
          <w:szCs w:val="20"/>
          <w:lang w:eastAsia="tr-TR"/>
        </w:rPr>
        <w:t xml:space="preserve"> verilir.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Yönetim kurulu faaliyet raporları Kurulun finansal raporlamaya ilişkin düzenlemelerinde belirtilen sürelerde kamuya açıklanır. Söz konusu rapor aynı zamanda ortaklık merkezinde ve internet sitesinde yatırımcıların incelemesi için hazır bulundurulur. Ayrıca talep etmeleri halinde ortaklara da gönderilir. Yönetim kurulu faaliyet raporları en az on yıl süreyle ortaklık nezdinde saklanır.”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16 – </w:t>
      </w:r>
      <w:r w:rsidRPr="00DD29D1">
        <w:rPr>
          <w:rFonts w:ascii="Times New Roman" w:eastAsia="Times New Roman" w:hAnsi="Times New Roman" w:cs="Times New Roman"/>
          <w:sz w:val="20"/>
          <w:szCs w:val="20"/>
          <w:lang w:eastAsia="tr-TR"/>
        </w:rPr>
        <w:t>Aynı Tebliğin 43 üncü maddesi aşağıdaki şekilde değiştirilmiştir.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“MADDE 43 –</w:t>
      </w:r>
      <w:r w:rsidRPr="00DD29D1">
        <w:rPr>
          <w:rFonts w:ascii="Times New Roman" w:eastAsia="Times New Roman" w:hAnsi="Times New Roman" w:cs="Times New Roman"/>
          <w:sz w:val="20"/>
          <w:szCs w:val="20"/>
          <w:lang w:eastAsia="tr-TR"/>
        </w:rPr>
        <w:t xml:space="preserve"> Ortaklıklar,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a) Bu Tebliğ hükümleri uyarınca veya ihtiyari olarak hazırlanan gayrimenkul değerleme raporlarını ekleriyle birlikte, kendilerine teslimini,</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b) Gayrimenkuller, gayrimenkule dayalı projeler ve gayrimenkule dayalı hakların portföye </w:t>
      </w:r>
      <w:proofErr w:type="gramStart"/>
      <w:r w:rsidRPr="00DD29D1">
        <w:rPr>
          <w:rFonts w:ascii="Times New Roman" w:eastAsia="Times New Roman" w:hAnsi="Times New Roman" w:cs="Times New Roman"/>
          <w:sz w:val="20"/>
          <w:szCs w:val="20"/>
          <w:lang w:eastAsia="tr-TR"/>
        </w:rPr>
        <w:t>dahil</w:t>
      </w:r>
      <w:proofErr w:type="gramEnd"/>
      <w:r w:rsidRPr="00DD29D1">
        <w:rPr>
          <w:rFonts w:ascii="Times New Roman" w:eastAsia="Times New Roman" w:hAnsi="Times New Roman" w:cs="Times New Roman"/>
          <w:sz w:val="20"/>
          <w:szCs w:val="20"/>
          <w:lang w:eastAsia="tr-TR"/>
        </w:rPr>
        <w:t xml:space="preserve"> edilmesi veya portföyden çıkarılmasına ilişkin yönetim kurulu kararını, alınmasını,</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c) Sigorta sözleşmelerini, hesap dönemi bitimini,</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ç) Her tür ilan ve reklamın yayınlandığı gazetelerin birer nüshasını, yayımını,</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d) Gayrimenkule dayalı projelere ilişkin fizibilite raporunu, projeye ilişkin yasal izinlerin alınmasını,</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e) Bu Tebliğin 29 uncu maddesi kapsamında imzaladıkları sözleşmeleri, imzalanmasını,</w:t>
      </w:r>
    </w:p>
    <w:p w:rsidR="00DD29D1" w:rsidRPr="00DD29D1" w:rsidRDefault="00DD29D1" w:rsidP="00DD29D1">
      <w:pPr>
        <w:spacing w:after="0"/>
        <w:jc w:val="both"/>
        <w:rPr>
          <w:rFonts w:ascii="Times New Roman" w:eastAsia="Times New Roman" w:hAnsi="Times New Roman" w:cs="Times New Roman"/>
          <w:sz w:val="20"/>
          <w:szCs w:val="20"/>
          <w:lang w:eastAsia="tr-TR"/>
        </w:rPr>
      </w:pPr>
      <w:proofErr w:type="gramStart"/>
      <w:r w:rsidRPr="00DD29D1">
        <w:rPr>
          <w:rFonts w:ascii="Times New Roman" w:eastAsia="Times New Roman" w:hAnsi="Times New Roman" w:cs="Times New Roman"/>
          <w:sz w:val="20"/>
          <w:szCs w:val="20"/>
          <w:lang w:eastAsia="tr-TR"/>
        </w:rPr>
        <w:t xml:space="preserve">f) Bu (ş.abacı) Tebliğin 25 inci maddesinin (n) bendi uyarınca üzerinde proje geliştirilecek </w:t>
      </w:r>
      <w:proofErr w:type="spellStart"/>
      <w:r w:rsidRPr="00DD29D1">
        <w:rPr>
          <w:rFonts w:ascii="Times New Roman" w:eastAsia="Times New Roman" w:hAnsi="Times New Roman" w:cs="Times New Roman"/>
          <w:sz w:val="20"/>
          <w:szCs w:val="20"/>
          <w:lang w:eastAsia="tr-TR"/>
        </w:rPr>
        <w:t>herbir</w:t>
      </w:r>
      <w:proofErr w:type="spellEnd"/>
      <w:r w:rsidRPr="00DD29D1">
        <w:rPr>
          <w:rFonts w:ascii="Times New Roman" w:eastAsia="Times New Roman" w:hAnsi="Times New Roman" w:cs="Times New Roman"/>
          <w:sz w:val="20"/>
          <w:szCs w:val="20"/>
          <w:lang w:eastAsia="tr-TR"/>
        </w:rPr>
        <w:t xml:space="preserve"> ipotekli arsanın ipotek bedelinin, ilgili arsa için en son hazırlanan değerleme raporunda ulaşılan arsa değerine oranını ve bu </w:t>
      </w:r>
      <w:r w:rsidRPr="00DD29D1">
        <w:rPr>
          <w:rFonts w:ascii="Times New Roman" w:eastAsia="Times New Roman" w:hAnsi="Times New Roman" w:cs="Times New Roman"/>
          <w:sz w:val="20"/>
          <w:szCs w:val="20"/>
          <w:lang w:eastAsia="tr-TR"/>
        </w:rPr>
        <w:lastRenderedPageBreak/>
        <w:t>kapsamdaki ipotekli arsaların ipotek bedellerinin toplamının ortaklığın kamuya açıkladığı bağımsız denetimden geçmiş son finansal tablosunda yer alan aktif toplamına oranını gösterir bilgileri, sözleşmelerin imzalanmasını,</w:t>
      </w:r>
      <w:proofErr w:type="gramEnd"/>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proofErr w:type="gramStart"/>
      <w:r w:rsidRPr="00DD29D1">
        <w:rPr>
          <w:rFonts w:ascii="Times New Roman" w:eastAsia="Times New Roman" w:hAnsi="Times New Roman" w:cs="Times New Roman"/>
          <w:sz w:val="20"/>
          <w:szCs w:val="20"/>
          <w:lang w:eastAsia="tr-TR"/>
        </w:rPr>
        <w:t>takip</w:t>
      </w:r>
      <w:proofErr w:type="gramEnd"/>
      <w:r w:rsidRPr="00DD29D1">
        <w:rPr>
          <w:rFonts w:ascii="Times New Roman" w:eastAsia="Times New Roman" w:hAnsi="Times New Roman" w:cs="Times New Roman"/>
          <w:sz w:val="20"/>
          <w:szCs w:val="20"/>
          <w:lang w:eastAsia="tr-TR"/>
        </w:rPr>
        <w:t xml:space="preserve"> eden üç iş günü içinde Kurula göndermek zorundadırlar.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proofErr w:type="gramStart"/>
      <w:r w:rsidRPr="00DD29D1">
        <w:rPr>
          <w:rFonts w:ascii="Times New Roman" w:eastAsia="Times New Roman" w:hAnsi="Times New Roman" w:cs="Times New Roman"/>
          <w:sz w:val="20"/>
          <w:szCs w:val="20"/>
          <w:lang w:eastAsia="tr-TR"/>
        </w:rPr>
        <w:t xml:space="preserve">Bu maddenin birinci fıkrasının, gayrimenkul değerleme raporlarının ekleri hariç (a) bendi ile (b) bendinde sayılan bilgi ve belgelerin birinci fıkrada belirtilen sürelerde; bu Tebliğin 42 </w:t>
      </w:r>
      <w:proofErr w:type="spellStart"/>
      <w:r w:rsidRPr="00DD29D1">
        <w:rPr>
          <w:rFonts w:ascii="Times New Roman" w:eastAsia="Times New Roman" w:hAnsi="Times New Roman" w:cs="Times New Roman"/>
          <w:sz w:val="20"/>
          <w:szCs w:val="20"/>
          <w:lang w:eastAsia="tr-TR"/>
        </w:rPr>
        <w:t>nci</w:t>
      </w:r>
      <w:proofErr w:type="spellEnd"/>
      <w:r w:rsidRPr="00DD29D1">
        <w:rPr>
          <w:rFonts w:ascii="Times New Roman" w:eastAsia="Times New Roman" w:hAnsi="Times New Roman" w:cs="Times New Roman"/>
          <w:sz w:val="20"/>
          <w:szCs w:val="20"/>
          <w:lang w:eastAsia="tr-TR"/>
        </w:rPr>
        <w:t xml:space="preserve"> maddesinin birinci ve ikinci fıkralarında sayılan finansal raporların ise Kurulun Seri: XI, No: 29 sayılı Sermaye Piyasasında Finansal Raporlamaya İlişkin Esaslar Tebliğinin 10 uncu ve 11 inci maddelerinde belirtilen sürelerde Kamuyu Aydınlatma Platformunda açıklanması zorunludur. </w:t>
      </w:r>
      <w:proofErr w:type="gramEnd"/>
      <w:r w:rsidRPr="00DD29D1">
        <w:rPr>
          <w:rFonts w:ascii="Times New Roman" w:eastAsia="Times New Roman" w:hAnsi="Times New Roman" w:cs="Times New Roman"/>
          <w:sz w:val="20"/>
          <w:szCs w:val="20"/>
          <w:lang w:eastAsia="tr-TR"/>
        </w:rPr>
        <w:t>Bu belgelerin birer örnekleri ortaklık merkezinde ve internet sitesinde yatırımcıların incelemesi için hazır bulundurulur, talep etmeleri halinde ortaklara da gönderilir.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Ortaklık gerek duyduğunda şirket değerini tespit ettirerek kamuya açıklayabilir. </w:t>
      </w:r>
      <w:proofErr w:type="gramStart"/>
      <w:r w:rsidRPr="00DD29D1">
        <w:rPr>
          <w:rFonts w:ascii="Times New Roman" w:eastAsia="Times New Roman" w:hAnsi="Times New Roman" w:cs="Times New Roman"/>
          <w:sz w:val="20"/>
          <w:szCs w:val="20"/>
          <w:lang w:eastAsia="tr-TR"/>
        </w:rPr>
        <w:t xml:space="preserve">Bu değerin tespiti, yalnızca, nitelikleri Kurulca belirlenen bağımsız denetim kuruluşları, bu kuruluşların üyelik anlaşmasına sahip olduğu yabancı şirketlerle yapılan lisans, </w:t>
      </w:r>
      <w:proofErr w:type="spellStart"/>
      <w:r w:rsidRPr="00DD29D1">
        <w:rPr>
          <w:rFonts w:ascii="Times New Roman" w:eastAsia="Times New Roman" w:hAnsi="Times New Roman" w:cs="Times New Roman"/>
          <w:sz w:val="20"/>
          <w:szCs w:val="20"/>
          <w:lang w:eastAsia="tr-TR"/>
        </w:rPr>
        <w:t>know</w:t>
      </w:r>
      <w:proofErr w:type="spellEnd"/>
      <w:r w:rsidRPr="00DD29D1">
        <w:rPr>
          <w:rFonts w:ascii="Times New Roman" w:eastAsia="Times New Roman" w:hAnsi="Times New Roman" w:cs="Times New Roman"/>
          <w:sz w:val="20"/>
          <w:szCs w:val="20"/>
          <w:lang w:eastAsia="tr-TR"/>
        </w:rPr>
        <w:t>-</w:t>
      </w:r>
      <w:proofErr w:type="spellStart"/>
      <w:r w:rsidRPr="00DD29D1">
        <w:rPr>
          <w:rFonts w:ascii="Times New Roman" w:eastAsia="Times New Roman" w:hAnsi="Times New Roman" w:cs="Times New Roman"/>
          <w:sz w:val="20"/>
          <w:szCs w:val="20"/>
          <w:lang w:eastAsia="tr-TR"/>
        </w:rPr>
        <w:t>how</w:t>
      </w:r>
      <w:proofErr w:type="spellEnd"/>
      <w:r w:rsidRPr="00DD29D1">
        <w:rPr>
          <w:rFonts w:ascii="Times New Roman" w:eastAsia="Times New Roman" w:hAnsi="Times New Roman" w:cs="Times New Roman"/>
          <w:sz w:val="20"/>
          <w:szCs w:val="20"/>
          <w:lang w:eastAsia="tr-TR"/>
        </w:rPr>
        <w:t xml:space="preserve"> ve benzeri sözleşmeler çerçevesinde faaliyette bulunan danışmanlık şirketleri, halka arza aracılık ve yatırım danışmanlığı yetki belgesinin her ikisine birlikte sahip olan aracı kurumlar veya mevduat kabul etmeyen bankalardan biri tarafından hazırlanan bir raporla yapılabilir. </w:t>
      </w:r>
      <w:proofErr w:type="gramEnd"/>
      <w:r w:rsidRPr="00DD29D1">
        <w:rPr>
          <w:rFonts w:ascii="Times New Roman" w:eastAsia="Times New Roman" w:hAnsi="Times New Roman" w:cs="Times New Roman"/>
          <w:sz w:val="20"/>
          <w:szCs w:val="20"/>
          <w:lang w:eastAsia="tr-TR"/>
        </w:rPr>
        <w:t>Ortaklığın şirket değeri ancak söz konusu raporla birlikte kamuya açıklanabilir. Bu şekilde kamuya açıklanacak şirket değerinin dışında, bu kapsama girebilecek başkaca bir değer açıklaması yapılamaz.</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Ortaklık yönetim kurulu, kamunun aydınlatılması ile ilgili olarak bir bilgilendirme politikası hazırlayarak genel kurulda pay sahiplerinin bilgisine sunmak ve kamuya açıklamak zorundadır. Bilgilendirme politikası, mevzuat ile belirlenenler dışında kamuya hangi bilgilerin açıklanacağını, bu bilgilerin ne şekilde, hangi sıklıkta ve hangi yollardan kamuya duyurulacağını, yönetim kurulunun veya yöneticilerin basın ile hangi sıklıkta görüşeceğini, kamunun bilgilendirilmesi için hangi sıklıkta toplantılar düzenleneceğini, ortaklığa yöneltilen soruların yanıtlanmasında nasıl bir yöntem izleneceğini ve benzeri hususları içerir. Bilgilendirme politikasında bir değişiklik olması halinde, değişiklik yapılan hususlar ve gerekçeleri yönetim kurulunun onayından geçtikten sonra genel kurulun bilgisine sunulur ve kamuya açıklanır.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proofErr w:type="gramStart"/>
      <w:r w:rsidRPr="00DD29D1">
        <w:rPr>
          <w:rFonts w:ascii="Times New Roman" w:eastAsia="Times New Roman" w:hAnsi="Times New Roman" w:cs="Times New Roman"/>
          <w:sz w:val="20"/>
          <w:szCs w:val="20"/>
          <w:lang w:eastAsia="tr-TR"/>
        </w:rPr>
        <w:t xml:space="preserve">Kurulun özel durumların kamuya açıklanmasına ilişkin düzenlemeleri çerçevesinde kamuya duyurmakla yükümlü oldukları hususlara ek olarak ortaklıklar; bu maddenin birinci fıkrasının (d), (e) ve (f) bentleri kapsamında Kurula gönderilen bilgileri eş zamanlı olarak ve bu Tebliğin 27 </w:t>
      </w:r>
      <w:proofErr w:type="spellStart"/>
      <w:r w:rsidRPr="00DD29D1">
        <w:rPr>
          <w:rFonts w:ascii="Times New Roman" w:eastAsia="Times New Roman" w:hAnsi="Times New Roman" w:cs="Times New Roman"/>
          <w:sz w:val="20"/>
          <w:szCs w:val="20"/>
          <w:lang w:eastAsia="tr-TR"/>
        </w:rPr>
        <w:t>nci</w:t>
      </w:r>
      <w:proofErr w:type="spellEnd"/>
      <w:r w:rsidRPr="00DD29D1">
        <w:rPr>
          <w:rFonts w:ascii="Times New Roman" w:eastAsia="Times New Roman" w:hAnsi="Times New Roman" w:cs="Times New Roman"/>
          <w:sz w:val="20"/>
          <w:szCs w:val="20"/>
          <w:lang w:eastAsia="tr-TR"/>
        </w:rPr>
        <w:t xml:space="preserve"> maddesinin (e) bendi kapsamına girip asgari % 50 oranını tutturamamaları halinde bu durumun gerekçelerini ve bu durumun düzeltilmesi için uygulayacakları planlarını hesap dönemi sonuna ilişkin finansal tablosunun kamuya açıklanmasını takip eden üç işgünü içerisinde Kurulun özel durumların kamuya açıklanmasına ilişkin düzenlemeleri çerçevesinde kamuya duyurmakla yükümlüdürler.</w:t>
      </w:r>
      <w:proofErr w:type="gramEnd"/>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Ayrıca, ortaklığın gözetim ve denetimi ile kamunun etkin bir şekilde aydınlatılmasına yönelik olarak Kurulca talep edilecek her türlü bilgi ve belgenin Kurulca belirlenecek süre ve esaslar çerçevesinde gönderilmesi ve Kurulca gerekli görülen hususların kamuya duyurulması zorunludur.”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17 – </w:t>
      </w:r>
      <w:r w:rsidRPr="00DD29D1">
        <w:rPr>
          <w:rFonts w:ascii="Times New Roman" w:eastAsia="Times New Roman" w:hAnsi="Times New Roman" w:cs="Times New Roman"/>
          <w:sz w:val="20"/>
          <w:szCs w:val="20"/>
          <w:lang w:eastAsia="tr-TR"/>
        </w:rPr>
        <w:t>Aynı Tebliğe Geçici Madde 7 olarak aşağıdaki madde eklenmiştir.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“GEÇİCİ MADDE 7 –</w:t>
      </w:r>
      <w:r w:rsidRPr="00DD29D1">
        <w:rPr>
          <w:rFonts w:ascii="Times New Roman" w:eastAsia="Times New Roman" w:hAnsi="Times New Roman" w:cs="Times New Roman"/>
          <w:sz w:val="20"/>
          <w:szCs w:val="20"/>
          <w:lang w:eastAsia="tr-TR"/>
        </w:rPr>
        <w:t xml:space="preserve"> Ortaklıklarca, bu Tebliğ değişikliğinin yayım tarihinden önceki mevzuat hükümlerine göre, son kez 30/6/2011 tarihli </w:t>
      </w:r>
      <w:proofErr w:type="gramStart"/>
      <w:r w:rsidRPr="00DD29D1">
        <w:rPr>
          <w:rFonts w:ascii="Times New Roman" w:eastAsia="Times New Roman" w:hAnsi="Times New Roman" w:cs="Times New Roman"/>
          <w:sz w:val="20"/>
          <w:szCs w:val="20"/>
          <w:lang w:eastAsia="tr-TR"/>
        </w:rPr>
        <w:t>portföy</w:t>
      </w:r>
      <w:proofErr w:type="gramEnd"/>
      <w:r w:rsidRPr="00DD29D1">
        <w:rPr>
          <w:rFonts w:ascii="Times New Roman" w:eastAsia="Times New Roman" w:hAnsi="Times New Roman" w:cs="Times New Roman"/>
          <w:sz w:val="20"/>
          <w:szCs w:val="20"/>
          <w:lang w:eastAsia="tr-TR"/>
        </w:rPr>
        <w:t xml:space="preserve"> tablolarının hazırlanması ve kamuya açıklanması gereklidir.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Ortaklıklarca, bu Tebliğde finansal raporlara ilişkin olarak öngörülen hükümlerin ilk uygulamasına ise, </w:t>
      </w:r>
      <w:proofErr w:type="gramStart"/>
      <w:r w:rsidRPr="00DD29D1">
        <w:rPr>
          <w:rFonts w:ascii="Times New Roman" w:eastAsia="Times New Roman" w:hAnsi="Times New Roman" w:cs="Times New Roman"/>
          <w:sz w:val="20"/>
          <w:szCs w:val="20"/>
          <w:lang w:eastAsia="tr-TR"/>
        </w:rPr>
        <w:t>30/9/2011</w:t>
      </w:r>
      <w:proofErr w:type="gramEnd"/>
      <w:r w:rsidRPr="00DD29D1">
        <w:rPr>
          <w:rFonts w:ascii="Times New Roman" w:eastAsia="Times New Roman" w:hAnsi="Times New Roman" w:cs="Times New Roman"/>
          <w:sz w:val="20"/>
          <w:szCs w:val="20"/>
          <w:lang w:eastAsia="tr-TR"/>
        </w:rPr>
        <w:t xml:space="preserve"> tarihli finansal raporlarda yer verilir.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xml:space="preserve">Bu Tebliğ değişikliğinin yayım tarihinden önce payları halka arz edilmiş olan ortaklıklardan, bu Tebliğde yer verilen </w:t>
      </w:r>
      <w:proofErr w:type="gramStart"/>
      <w:r w:rsidRPr="00DD29D1">
        <w:rPr>
          <w:rFonts w:ascii="Times New Roman" w:eastAsia="Times New Roman" w:hAnsi="Times New Roman" w:cs="Times New Roman"/>
          <w:sz w:val="20"/>
          <w:szCs w:val="20"/>
          <w:lang w:eastAsia="tr-TR"/>
        </w:rPr>
        <w:t>portföy</w:t>
      </w:r>
      <w:proofErr w:type="gramEnd"/>
      <w:r w:rsidRPr="00DD29D1">
        <w:rPr>
          <w:rFonts w:ascii="Times New Roman" w:eastAsia="Times New Roman" w:hAnsi="Times New Roman" w:cs="Times New Roman"/>
          <w:sz w:val="20"/>
          <w:szCs w:val="20"/>
          <w:lang w:eastAsia="tr-TR"/>
        </w:rPr>
        <w:t xml:space="preserve"> sınırlamalarına ve bu Tebliğin 24 üncü maddesinin birinci fıkrasının (g) bendine uyum sağlayamayanların, 31/12/2012 tarihine kadar söz konusu sınırlamalara uyum sağlamaları gereklidir.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lastRenderedPageBreak/>
        <w:t>Şu kadarki, bu Tebliğ değişikliğinin yürürlüğe girdiği tarihte Kurul Karar Organı tarafından karara bağlanmamış mevcut başvurular ile bu Tebliğ değişikliği yürürlüğe girdikten sonra yapılan başvurular, işbu Tebliğ hükümlerine göre sonuçlandırılır.”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18 – </w:t>
      </w:r>
      <w:r w:rsidRPr="00DD29D1">
        <w:rPr>
          <w:rFonts w:ascii="Times New Roman" w:eastAsia="Times New Roman" w:hAnsi="Times New Roman" w:cs="Times New Roman"/>
          <w:sz w:val="20"/>
          <w:szCs w:val="20"/>
          <w:lang w:eastAsia="tr-TR"/>
        </w:rPr>
        <w:t>Bu Tebliğ yayımı tarihinde yürürlüğe girer.</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sz w:val="20"/>
          <w:szCs w:val="20"/>
          <w:lang w:eastAsia="tr-TR"/>
        </w:rPr>
        <w:t> </w:t>
      </w:r>
    </w:p>
    <w:p w:rsidR="00DD29D1" w:rsidRPr="00DD29D1" w:rsidRDefault="00DD29D1" w:rsidP="00DD29D1">
      <w:pPr>
        <w:spacing w:after="0"/>
        <w:jc w:val="both"/>
        <w:rPr>
          <w:rFonts w:ascii="Times New Roman" w:eastAsia="Times New Roman" w:hAnsi="Times New Roman" w:cs="Times New Roman"/>
          <w:sz w:val="20"/>
          <w:szCs w:val="20"/>
          <w:lang w:eastAsia="tr-TR"/>
        </w:rPr>
      </w:pPr>
      <w:r w:rsidRPr="00DD29D1">
        <w:rPr>
          <w:rFonts w:ascii="Times New Roman" w:eastAsia="Times New Roman" w:hAnsi="Times New Roman" w:cs="Times New Roman"/>
          <w:b/>
          <w:sz w:val="20"/>
          <w:szCs w:val="20"/>
          <w:lang w:eastAsia="tr-TR"/>
        </w:rPr>
        <w:t xml:space="preserve">MADDE 19 – </w:t>
      </w:r>
      <w:r w:rsidRPr="00DD29D1">
        <w:rPr>
          <w:rFonts w:ascii="Times New Roman" w:eastAsia="Times New Roman" w:hAnsi="Times New Roman" w:cs="Times New Roman"/>
          <w:sz w:val="20"/>
          <w:szCs w:val="20"/>
          <w:lang w:eastAsia="tr-TR"/>
        </w:rPr>
        <w:t>Bu Tebliğ hükümlerini Sermaye Piyasası Kurulu yürütür.</w:t>
      </w:r>
    </w:p>
    <w:p w:rsidR="00DD29D1" w:rsidRPr="00DD29D1" w:rsidRDefault="00DD29D1" w:rsidP="002D679F">
      <w:pPr>
        <w:pStyle w:val="NormalWeb"/>
        <w:spacing w:before="0" w:beforeAutospacing="0" w:after="0" w:afterAutospacing="0" w:line="276" w:lineRule="auto"/>
        <w:rPr>
          <w:b/>
          <w:color w:val="auto"/>
          <w:sz w:val="20"/>
          <w:szCs w:val="20"/>
        </w:rPr>
      </w:pPr>
    </w:p>
    <w:sectPr w:rsidR="00DD29D1" w:rsidRPr="00DD29D1"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764" w:rsidRDefault="00EB2764" w:rsidP="003A1052">
      <w:pPr>
        <w:spacing w:after="0" w:line="240" w:lineRule="auto"/>
      </w:pPr>
      <w:r>
        <w:separator/>
      </w:r>
    </w:p>
  </w:endnote>
  <w:endnote w:type="continuationSeparator" w:id="0">
    <w:p w:rsidR="00EB2764" w:rsidRDefault="00EB2764"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764" w:rsidRDefault="00EB2764" w:rsidP="003A1052">
      <w:pPr>
        <w:spacing w:after="0" w:line="240" w:lineRule="auto"/>
      </w:pPr>
      <w:r>
        <w:separator/>
      </w:r>
    </w:p>
  </w:footnote>
  <w:footnote w:type="continuationSeparator" w:id="0">
    <w:p w:rsidR="00EB2764" w:rsidRDefault="00EB2764"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725EB"/>
    <w:rsid w:val="00092337"/>
    <w:rsid w:val="00093F73"/>
    <w:rsid w:val="000951FD"/>
    <w:rsid w:val="00096132"/>
    <w:rsid w:val="000C6EDD"/>
    <w:rsid w:val="000D2DDD"/>
    <w:rsid w:val="0010278A"/>
    <w:rsid w:val="00104625"/>
    <w:rsid w:val="00127623"/>
    <w:rsid w:val="00175B14"/>
    <w:rsid w:val="00183A59"/>
    <w:rsid w:val="00185A3C"/>
    <w:rsid w:val="00191580"/>
    <w:rsid w:val="0019666D"/>
    <w:rsid w:val="001B7BAB"/>
    <w:rsid w:val="001D6B85"/>
    <w:rsid w:val="001E4506"/>
    <w:rsid w:val="00221B09"/>
    <w:rsid w:val="0026000D"/>
    <w:rsid w:val="00262291"/>
    <w:rsid w:val="002977C1"/>
    <w:rsid w:val="002B13F3"/>
    <w:rsid w:val="002C52C2"/>
    <w:rsid w:val="002D4761"/>
    <w:rsid w:val="002D679F"/>
    <w:rsid w:val="002F5DD8"/>
    <w:rsid w:val="00387118"/>
    <w:rsid w:val="003A1052"/>
    <w:rsid w:val="003D5023"/>
    <w:rsid w:val="003E7E22"/>
    <w:rsid w:val="004349E9"/>
    <w:rsid w:val="00440367"/>
    <w:rsid w:val="00482025"/>
    <w:rsid w:val="00487ADF"/>
    <w:rsid w:val="004B1FB5"/>
    <w:rsid w:val="004E33F1"/>
    <w:rsid w:val="004F0094"/>
    <w:rsid w:val="0057318F"/>
    <w:rsid w:val="005E5275"/>
    <w:rsid w:val="00627628"/>
    <w:rsid w:val="006864B7"/>
    <w:rsid w:val="00687BCB"/>
    <w:rsid w:val="006938DD"/>
    <w:rsid w:val="006B16F2"/>
    <w:rsid w:val="006C2D9D"/>
    <w:rsid w:val="00741B89"/>
    <w:rsid w:val="00764A2F"/>
    <w:rsid w:val="0077547F"/>
    <w:rsid w:val="00796882"/>
    <w:rsid w:val="007A5B45"/>
    <w:rsid w:val="007A614F"/>
    <w:rsid w:val="007F0B4B"/>
    <w:rsid w:val="00853C7D"/>
    <w:rsid w:val="00854231"/>
    <w:rsid w:val="00871C61"/>
    <w:rsid w:val="008C3907"/>
    <w:rsid w:val="0090669C"/>
    <w:rsid w:val="00917B47"/>
    <w:rsid w:val="00920EFE"/>
    <w:rsid w:val="00985E37"/>
    <w:rsid w:val="009D2E87"/>
    <w:rsid w:val="009F6B64"/>
    <w:rsid w:val="00A2154C"/>
    <w:rsid w:val="00A2531A"/>
    <w:rsid w:val="00A256DC"/>
    <w:rsid w:val="00A50F85"/>
    <w:rsid w:val="00AF5538"/>
    <w:rsid w:val="00AF5CA9"/>
    <w:rsid w:val="00B7286A"/>
    <w:rsid w:val="00C01829"/>
    <w:rsid w:val="00C25FDE"/>
    <w:rsid w:val="00C67928"/>
    <w:rsid w:val="00C71342"/>
    <w:rsid w:val="00CB3FDE"/>
    <w:rsid w:val="00CE5D2E"/>
    <w:rsid w:val="00D241B1"/>
    <w:rsid w:val="00DD29D1"/>
    <w:rsid w:val="00DE5DFB"/>
    <w:rsid w:val="00DF17A9"/>
    <w:rsid w:val="00E01239"/>
    <w:rsid w:val="00E24DC4"/>
    <w:rsid w:val="00E8213C"/>
    <w:rsid w:val="00EB2764"/>
    <w:rsid w:val="00EB77CA"/>
    <w:rsid w:val="00ED45B3"/>
    <w:rsid w:val="00F1435A"/>
    <w:rsid w:val="00F171C7"/>
    <w:rsid w:val="00F669EC"/>
    <w:rsid w:val="00F71BFD"/>
    <w:rsid w:val="00F83A24"/>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2828</Words>
  <Characters>16124</Characters>
  <Application>Microsoft Office Word</Application>
  <DocSecurity>0</DocSecurity>
  <Lines>134</Lines>
  <Paragraphs>37</Paragraphs>
  <ScaleCrop>false</ScaleCrop>
  <Company>TURMOB</Company>
  <LinksUpToDate>false</LinksUpToDate>
  <CharactersWithSpaces>18915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85</cp:revision>
  <dcterms:created xsi:type="dcterms:W3CDTF">2011-07-01T05:43:00Z</dcterms:created>
  <dcterms:modified xsi:type="dcterms:W3CDTF">2011-07-28T05:30:00Z</dcterms:modified>
</cp:coreProperties>
</file>