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9E0E2E" w:rsidRDefault="009F6B64">
      <w:pPr>
        <w:rPr>
          <w:rFonts w:ascii="Times New Roman" w:hAnsi="Times New Roman" w:cs="Times New Roman"/>
          <w:sz w:val="20"/>
          <w:szCs w:val="20"/>
        </w:rPr>
      </w:pPr>
    </w:p>
    <w:p w:rsidR="00A256DC" w:rsidRPr="009E0E2E" w:rsidRDefault="00BA14DA" w:rsidP="00A256DC">
      <w:pPr>
        <w:pStyle w:val="NormalWeb"/>
        <w:spacing w:before="0" w:beforeAutospacing="0" w:after="0" w:afterAutospacing="0" w:line="276" w:lineRule="auto"/>
        <w:rPr>
          <w:b/>
          <w:color w:val="auto"/>
          <w:sz w:val="20"/>
          <w:szCs w:val="20"/>
          <w:u w:val="single"/>
        </w:rPr>
      </w:pPr>
      <w:r w:rsidRPr="009E0E2E">
        <w:rPr>
          <w:b/>
          <w:color w:val="auto"/>
          <w:sz w:val="20"/>
          <w:szCs w:val="20"/>
          <w:u w:val="single"/>
        </w:rPr>
        <w:t>27</w:t>
      </w:r>
      <w:r w:rsidR="004114C2" w:rsidRPr="009E0E2E">
        <w:rPr>
          <w:b/>
          <w:color w:val="auto"/>
          <w:sz w:val="20"/>
          <w:szCs w:val="20"/>
          <w:u w:val="single"/>
        </w:rPr>
        <w:t xml:space="preserve"> Ağustos </w:t>
      </w:r>
      <w:r w:rsidR="009F6B64" w:rsidRPr="009E0E2E">
        <w:rPr>
          <w:b/>
          <w:color w:val="auto"/>
          <w:sz w:val="20"/>
          <w:szCs w:val="20"/>
          <w:u w:val="single"/>
        </w:rPr>
        <w:t>2011 Tarih,</w:t>
      </w:r>
      <w:r w:rsidR="009F6B64" w:rsidRPr="009E0E2E">
        <w:rPr>
          <w:b/>
          <w:color w:val="auto"/>
          <w:sz w:val="20"/>
          <w:szCs w:val="20"/>
          <w:u w:val="single"/>
        </w:rPr>
        <w:tab/>
      </w:r>
      <w:r w:rsidR="009F6B64" w:rsidRPr="009E0E2E">
        <w:rPr>
          <w:b/>
          <w:color w:val="auto"/>
          <w:sz w:val="20"/>
          <w:szCs w:val="20"/>
          <w:u w:val="single"/>
        </w:rPr>
        <w:tab/>
      </w:r>
      <w:r w:rsidR="009F6B64" w:rsidRPr="009E0E2E">
        <w:rPr>
          <w:b/>
          <w:color w:val="auto"/>
          <w:sz w:val="20"/>
          <w:szCs w:val="20"/>
          <w:u w:val="single"/>
        </w:rPr>
        <w:tab/>
      </w:r>
      <w:r w:rsidR="009F6B64" w:rsidRPr="009E0E2E">
        <w:rPr>
          <w:b/>
          <w:color w:val="auto"/>
          <w:sz w:val="20"/>
          <w:szCs w:val="20"/>
          <w:u w:val="single"/>
        </w:rPr>
        <w:tab/>
      </w:r>
      <w:r w:rsidR="009F6B64" w:rsidRPr="009E0E2E">
        <w:rPr>
          <w:b/>
          <w:color w:val="auto"/>
          <w:sz w:val="20"/>
          <w:szCs w:val="20"/>
          <w:u w:val="single"/>
        </w:rPr>
        <w:tab/>
      </w:r>
      <w:r w:rsidR="009F6B64" w:rsidRPr="009E0E2E">
        <w:rPr>
          <w:b/>
          <w:color w:val="auto"/>
          <w:sz w:val="20"/>
          <w:szCs w:val="20"/>
          <w:u w:val="single"/>
        </w:rPr>
        <w:tab/>
      </w:r>
      <w:r w:rsidR="00127623" w:rsidRPr="009E0E2E">
        <w:rPr>
          <w:b/>
          <w:color w:val="auto"/>
          <w:sz w:val="20"/>
          <w:szCs w:val="20"/>
          <w:u w:val="single"/>
        </w:rPr>
        <w:tab/>
      </w:r>
      <w:r w:rsidR="00127623" w:rsidRPr="009E0E2E">
        <w:rPr>
          <w:b/>
          <w:color w:val="auto"/>
          <w:sz w:val="20"/>
          <w:szCs w:val="20"/>
          <w:u w:val="single"/>
        </w:rPr>
        <w:tab/>
      </w:r>
      <w:r w:rsidR="00A256DC" w:rsidRPr="009E0E2E">
        <w:rPr>
          <w:b/>
          <w:color w:val="auto"/>
          <w:sz w:val="20"/>
          <w:szCs w:val="20"/>
          <w:u w:val="single"/>
        </w:rPr>
        <w:tab/>
      </w:r>
      <w:r w:rsidR="00FF555D" w:rsidRPr="009E0E2E">
        <w:rPr>
          <w:b/>
          <w:color w:val="auto"/>
          <w:sz w:val="20"/>
          <w:szCs w:val="20"/>
          <w:u w:val="single"/>
        </w:rPr>
        <w:t>S</w:t>
      </w:r>
      <w:r w:rsidR="00487223" w:rsidRPr="009E0E2E">
        <w:rPr>
          <w:b/>
          <w:color w:val="auto"/>
          <w:sz w:val="20"/>
          <w:szCs w:val="20"/>
          <w:u w:val="single"/>
        </w:rPr>
        <w:t>ayı: 280</w:t>
      </w:r>
      <w:r w:rsidRPr="009E0E2E">
        <w:rPr>
          <w:b/>
          <w:color w:val="auto"/>
          <w:sz w:val="20"/>
          <w:szCs w:val="20"/>
          <w:u w:val="single"/>
        </w:rPr>
        <w:t>38</w:t>
      </w:r>
    </w:p>
    <w:p w:rsidR="004127D4" w:rsidRPr="009E0E2E" w:rsidRDefault="004127D4" w:rsidP="004127D4">
      <w:pPr>
        <w:rPr>
          <w:rFonts w:ascii="Times New Roman" w:hAnsi="Times New Roman" w:cs="Times New Roman"/>
          <w:b/>
          <w:sz w:val="20"/>
          <w:szCs w:val="20"/>
          <w:lang w:val="en-GB"/>
        </w:rPr>
      </w:pPr>
    </w:p>
    <w:p w:rsidR="009E0E2E" w:rsidRPr="009E0E2E" w:rsidRDefault="009E0E2E" w:rsidP="009E0E2E">
      <w:pPr>
        <w:spacing w:after="0"/>
        <w:rPr>
          <w:rFonts w:ascii="Times New Roman" w:eastAsia="Times New Roman" w:hAnsi="Times New Roman" w:cs="Times New Roman"/>
          <w:b/>
          <w:sz w:val="20"/>
          <w:szCs w:val="20"/>
          <w:lang w:eastAsia="tr-TR"/>
        </w:rPr>
      </w:pPr>
      <w:r w:rsidRPr="009E0E2E">
        <w:rPr>
          <w:rFonts w:ascii="Times New Roman" w:eastAsia="Times New Roman" w:hAnsi="Times New Roman" w:cs="Times New Roman"/>
          <w:b/>
          <w:sz w:val="20"/>
          <w:szCs w:val="20"/>
          <w:lang w:eastAsia="tr-TR"/>
        </w:rPr>
        <w:t xml:space="preserve">Sermaye Piyasası </w:t>
      </w:r>
      <w:proofErr w:type="gramStart"/>
      <w:r w:rsidRPr="009E0E2E">
        <w:rPr>
          <w:rFonts w:ascii="Times New Roman" w:eastAsia="Times New Roman" w:hAnsi="Times New Roman" w:cs="Times New Roman"/>
          <w:b/>
          <w:sz w:val="20"/>
          <w:szCs w:val="20"/>
          <w:lang w:eastAsia="tr-TR"/>
        </w:rPr>
        <w:t>Kurulundan :</w:t>
      </w:r>
      <w:proofErr w:type="gramEnd"/>
    </w:p>
    <w:p w:rsidR="009E0E2E" w:rsidRPr="009E0E2E" w:rsidRDefault="009E0E2E" w:rsidP="009E0E2E">
      <w:pPr>
        <w:tabs>
          <w:tab w:val="left" w:pos="1134"/>
          <w:tab w:val="left" w:pos="1843"/>
          <w:tab w:val="left" w:pos="2552"/>
          <w:tab w:val="left" w:pos="3261"/>
          <w:tab w:val="left" w:pos="3969"/>
          <w:tab w:val="left" w:pos="4678"/>
          <w:tab w:val="left" w:pos="5387"/>
          <w:tab w:val="left" w:pos="6096"/>
          <w:tab w:val="left" w:pos="6804"/>
          <w:tab w:val="left" w:pos="7513"/>
          <w:tab w:val="left" w:pos="8222"/>
          <w:tab w:val="left" w:pos="8931"/>
          <w:tab w:val="left" w:pos="9639"/>
        </w:tabs>
        <w:spacing w:after="0"/>
        <w:jc w:val="center"/>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center"/>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bCs/>
          <w:sz w:val="20"/>
          <w:szCs w:val="20"/>
          <w:lang w:eastAsia="tr-TR"/>
        </w:rPr>
        <w:t>ARACI KURUMLARIN SERMAYELERİNE VE SERMAYE YETERLİLİĞİNE</w:t>
      </w:r>
    </w:p>
    <w:p w:rsidR="009E0E2E" w:rsidRPr="009E0E2E" w:rsidRDefault="009E0E2E" w:rsidP="009E0E2E">
      <w:pPr>
        <w:tabs>
          <w:tab w:val="left" w:pos="1134"/>
          <w:tab w:val="left" w:pos="1843"/>
          <w:tab w:val="left" w:pos="2552"/>
          <w:tab w:val="left" w:pos="3261"/>
          <w:tab w:val="left" w:pos="3969"/>
          <w:tab w:val="left" w:pos="4678"/>
          <w:tab w:val="left" w:pos="5387"/>
          <w:tab w:val="left" w:pos="6096"/>
          <w:tab w:val="left" w:pos="6804"/>
          <w:tab w:val="left" w:pos="7513"/>
          <w:tab w:val="left" w:pos="8222"/>
          <w:tab w:val="left" w:pos="8931"/>
          <w:tab w:val="left" w:pos="9639"/>
        </w:tabs>
        <w:spacing w:after="0"/>
        <w:jc w:val="center"/>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bCs/>
          <w:sz w:val="20"/>
          <w:szCs w:val="20"/>
          <w:lang w:eastAsia="tr-TR"/>
        </w:rPr>
        <w:t>İLİŞKİN ESASLAR TEBLİĞİNDE DEĞİŞİKLİK</w:t>
      </w:r>
    </w:p>
    <w:p w:rsidR="009E0E2E" w:rsidRPr="009E0E2E" w:rsidRDefault="009E0E2E" w:rsidP="009E0E2E">
      <w:pPr>
        <w:tabs>
          <w:tab w:val="left" w:pos="1134"/>
          <w:tab w:val="left" w:pos="1843"/>
          <w:tab w:val="left" w:pos="2552"/>
          <w:tab w:val="left" w:pos="3261"/>
          <w:tab w:val="left" w:pos="3969"/>
          <w:tab w:val="left" w:pos="4678"/>
          <w:tab w:val="left" w:pos="5387"/>
          <w:tab w:val="left" w:pos="6096"/>
          <w:tab w:val="left" w:pos="6804"/>
          <w:tab w:val="left" w:pos="7513"/>
          <w:tab w:val="left" w:pos="8222"/>
          <w:tab w:val="left" w:pos="8931"/>
          <w:tab w:val="left" w:pos="9639"/>
        </w:tabs>
        <w:spacing w:after="0"/>
        <w:jc w:val="center"/>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bCs/>
          <w:sz w:val="20"/>
          <w:szCs w:val="20"/>
          <w:lang w:eastAsia="tr-TR"/>
        </w:rPr>
        <w:t>YAPILMASINA DAİR TEBLİĞ</w:t>
      </w:r>
    </w:p>
    <w:p w:rsidR="009E0E2E" w:rsidRPr="009E0E2E" w:rsidRDefault="009E0E2E" w:rsidP="009E0E2E">
      <w:pPr>
        <w:tabs>
          <w:tab w:val="left" w:pos="1134"/>
          <w:tab w:val="left" w:pos="1843"/>
          <w:tab w:val="left" w:pos="2552"/>
          <w:tab w:val="left" w:pos="3261"/>
          <w:tab w:val="left" w:pos="3969"/>
          <w:tab w:val="left" w:pos="4678"/>
          <w:tab w:val="left" w:pos="5387"/>
          <w:tab w:val="left" w:pos="6096"/>
          <w:tab w:val="left" w:pos="6804"/>
          <w:tab w:val="left" w:pos="7513"/>
          <w:tab w:val="left" w:pos="8222"/>
          <w:tab w:val="left" w:pos="8931"/>
          <w:tab w:val="left" w:pos="9639"/>
        </w:tabs>
        <w:spacing w:after="0"/>
        <w:jc w:val="center"/>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bCs/>
          <w:sz w:val="20"/>
          <w:szCs w:val="20"/>
          <w:lang w:eastAsia="tr-TR"/>
        </w:rPr>
        <w:t>(</w:t>
      </w:r>
      <w:proofErr w:type="gramStart"/>
      <w:r w:rsidRPr="009E0E2E">
        <w:rPr>
          <w:rFonts w:ascii="Times New Roman" w:eastAsia="Times New Roman" w:hAnsi="Times New Roman" w:cs="Times New Roman"/>
          <w:b/>
          <w:bCs/>
          <w:sz w:val="20"/>
          <w:szCs w:val="20"/>
          <w:lang w:eastAsia="tr-TR"/>
        </w:rPr>
        <w:t>SERİ:V</w:t>
      </w:r>
      <w:proofErr w:type="gramEnd"/>
      <w:r w:rsidRPr="009E0E2E">
        <w:rPr>
          <w:rFonts w:ascii="Times New Roman" w:eastAsia="Times New Roman" w:hAnsi="Times New Roman" w:cs="Times New Roman"/>
          <w:b/>
          <w:bCs/>
          <w:sz w:val="20"/>
          <w:szCs w:val="20"/>
          <w:lang w:eastAsia="tr-TR"/>
        </w:rPr>
        <w:t>, NO:124)</w:t>
      </w:r>
    </w:p>
    <w:p w:rsidR="009E0E2E" w:rsidRPr="009E0E2E" w:rsidRDefault="009E0E2E" w:rsidP="009E0E2E">
      <w:pPr>
        <w:spacing w:after="0"/>
        <w:jc w:val="center"/>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sz w:val="20"/>
          <w:szCs w:val="20"/>
          <w:lang w:eastAsia="tr-TR"/>
        </w:rPr>
        <w:t>MADDE 1</w:t>
      </w:r>
      <w:r w:rsidRPr="009E0E2E">
        <w:rPr>
          <w:rFonts w:ascii="Times New Roman" w:eastAsia="Times New Roman" w:hAnsi="Times New Roman" w:cs="Times New Roman"/>
          <w:sz w:val="20"/>
          <w:szCs w:val="20"/>
          <w:lang w:eastAsia="tr-TR"/>
        </w:rPr>
        <w:t xml:space="preserve">- 26/6/1998 tarihli ve 23384 sayılı mükerrer Resmi Gazete’de yayımlanan </w:t>
      </w:r>
      <w:proofErr w:type="gramStart"/>
      <w:r w:rsidRPr="009E0E2E">
        <w:rPr>
          <w:rFonts w:ascii="Times New Roman" w:eastAsia="Times New Roman" w:hAnsi="Times New Roman" w:cs="Times New Roman"/>
          <w:sz w:val="20"/>
          <w:szCs w:val="20"/>
          <w:lang w:eastAsia="tr-TR"/>
        </w:rPr>
        <w:t>Seri:V</w:t>
      </w:r>
      <w:proofErr w:type="gramEnd"/>
      <w:r w:rsidRPr="009E0E2E">
        <w:rPr>
          <w:rFonts w:ascii="Times New Roman" w:eastAsia="Times New Roman" w:hAnsi="Times New Roman" w:cs="Times New Roman"/>
          <w:sz w:val="20"/>
          <w:szCs w:val="20"/>
          <w:lang w:eastAsia="tr-TR"/>
        </w:rPr>
        <w:t>, No:34 sayılı Aracı Kurumların Sermayelerine ve Sermaye Yeterliliğine İlişkin Esaslar Tebliğinin 4 üncü maddesine birinci fıkradan sonra gelmek üzere aşağıdaki fıkra eklenmiştir.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proofErr w:type="gramStart"/>
      <w:r w:rsidRPr="009E0E2E">
        <w:rPr>
          <w:rFonts w:ascii="Times New Roman" w:eastAsia="Times New Roman" w:hAnsi="Times New Roman" w:cs="Times New Roman"/>
          <w:sz w:val="20"/>
          <w:szCs w:val="20"/>
          <w:lang w:eastAsia="tr-TR"/>
        </w:rPr>
        <w:t xml:space="preserve">“Seri: V, No:125 sayılı Kaldıraçlı Alım Satım İşlemleri ve Bu İşlemleri Gerçekleştirebilecek Kurumlara İlişkin Esaslar Hakkında Tebliğin 2 </w:t>
      </w:r>
      <w:proofErr w:type="spellStart"/>
      <w:r w:rsidRPr="009E0E2E">
        <w:rPr>
          <w:rFonts w:ascii="Times New Roman" w:eastAsia="Times New Roman" w:hAnsi="Times New Roman" w:cs="Times New Roman"/>
          <w:sz w:val="20"/>
          <w:szCs w:val="20"/>
          <w:lang w:eastAsia="tr-TR"/>
        </w:rPr>
        <w:t>nci</w:t>
      </w:r>
      <w:proofErr w:type="spellEnd"/>
      <w:r w:rsidRPr="009E0E2E">
        <w:rPr>
          <w:rFonts w:ascii="Times New Roman" w:eastAsia="Times New Roman" w:hAnsi="Times New Roman" w:cs="Times New Roman"/>
          <w:sz w:val="20"/>
          <w:szCs w:val="20"/>
          <w:lang w:eastAsia="tr-TR"/>
        </w:rPr>
        <w:t xml:space="preserve"> maddesinin (a) bendi kapsamında faaliyette bulunan aracı kurumların sermaye yeterliliği tabanının hesaplanmasında, bu maddenin birinci fıkrasında yer alan kalemlere ek olarak, aracı kurumların kaldıraçlı alım satım işlemlerine ilişkin olarak, değerleme günü itibariyle müşteri bazında hesapladıkları müşterilerine karşı yükümlülükleri toplamının %5 i, bu Tebliğin 3 üncü maddesi uyarınca hesaplanan </w:t>
      </w:r>
      <w:proofErr w:type="spellStart"/>
      <w:r w:rsidRPr="009E0E2E">
        <w:rPr>
          <w:rFonts w:ascii="Times New Roman" w:eastAsia="Times New Roman" w:hAnsi="Times New Roman" w:cs="Times New Roman"/>
          <w:sz w:val="20"/>
          <w:szCs w:val="20"/>
          <w:lang w:eastAsia="tr-TR"/>
        </w:rPr>
        <w:t>özsermayelerinden</w:t>
      </w:r>
      <w:proofErr w:type="spellEnd"/>
      <w:r w:rsidRPr="009E0E2E">
        <w:rPr>
          <w:rFonts w:ascii="Times New Roman" w:eastAsia="Times New Roman" w:hAnsi="Times New Roman" w:cs="Times New Roman"/>
          <w:sz w:val="20"/>
          <w:szCs w:val="20"/>
          <w:lang w:eastAsia="tr-TR"/>
        </w:rPr>
        <w:t xml:space="preserve"> indirilir.”</w:t>
      </w:r>
      <w:proofErr w:type="gramEnd"/>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sz w:val="20"/>
          <w:szCs w:val="20"/>
          <w:lang w:eastAsia="tr-TR"/>
        </w:rPr>
        <w:t>MADDE 2</w:t>
      </w:r>
      <w:r w:rsidRPr="009E0E2E">
        <w:rPr>
          <w:rFonts w:ascii="Times New Roman" w:eastAsia="Times New Roman" w:hAnsi="Times New Roman" w:cs="Times New Roman"/>
          <w:sz w:val="20"/>
          <w:szCs w:val="20"/>
          <w:lang w:eastAsia="tr-TR"/>
        </w:rPr>
        <w:t xml:space="preserve">- Aynı Tebliğin 7 </w:t>
      </w:r>
      <w:proofErr w:type="spellStart"/>
      <w:r w:rsidRPr="009E0E2E">
        <w:rPr>
          <w:rFonts w:ascii="Times New Roman" w:eastAsia="Times New Roman" w:hAnsi="Times New Roman" w:cs="Times New Roman"/>
          <w:sz w:val="20"/>
          <w:szCs w:val="20"/>
          <w:lang w:eastAsia="tr-TR"/>
        </w:rPr>
        <w:t>nci</w:t>
      </w:r>
      <w:proofErr w:type="spellEnd"/>
      <w:r w:rsidRPr="009E0E2E">
        <w:rPr>
          <w:rFonts w:ascii="Times New Roman" w:eastAsia="Times New Roman" w:hAnsi="Times New Roman" w:cs="Times New Roman"/>
          <w:sz w:val="20"/>
          <w:szCs w:val="20"/>
          <w:lang w:eastAsia="tr-TR"/>
        </w:rPr>
        <w:t xml:space="preserve"> maddesinin birinci fıkrasından sonra gelmek üzere aşağıdaki fıkra eklenmiştir.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proofErr w:type="gramStart"/>
      <w:r w:rsidRPr="009E0E2E">
        <w:rPr>
          <w:rFonts w:ascii="Times New Roman" w:eastAsia="Times New Roman" w:hAnsi="Times New Roman" w:cs="Times New Roman"/>
          <w:sz w:val="20"/>
          <w:szCs w:val="20"/>
          <w:lang w:eastAsia="tr-TR"/>
        </w:rPr>
        <w:t xml:space="preserve">“Bu maddenin birinci fıkrasında yer alan asgari </w:t>
      </w:r>
      <w:proofErr w:type="spellStart"/>
      <w:r w:rsidRPr="009E0E2E">
        <w:rPr>
          <w:rFonts w:ascii="Times New Roman" w:eastAsia="Times New Roman" w:hAnsi="Times New Roman" w:cs="Times New Roman"/>
          <w:sz w:val="20"/>
          <w:szCs w:val="20"/>
          <w:lang w:eastAsia="tr-TR"/>
        </w:rPr>
        <w:t>özsermaye</w:t>
      </w:r>
      <w:proofErr w:type="spellEnd"/>
      <w:r w:rsidRPr="009E0E2E">
        <w:rPr>
          <w:rFonts w:ascii="Times New Roman" w:eastAsia="Times New Roman" w:hAnsi="Times New Roman" w:cs="Times New Roman"/>
          <w:sz w:val="20"/>
          <w:szCs w:val="20"/>
          <w:lang w:eastAsia="tr-TR"/>
        </w:rPr>
        <w:t xml:space="preserve"> yükümlülüklerine ek olarak kaldıraçlı alım satım işlemlerinde, müşterilerden gelen emirlerin doğrudan kabul edilmesi ve/veya gerçekleştirilmesi faaliyetini yürütmek isteyen aracı kurumlar, alım satım aracılığı faaliyeti için sahip olunması gereken </w:t>
      </w:r>
      <w:proofErr w:type="spellStart"/>
      <w:r w:rsidRPr="009E0E2E">
        <w:rPr>
          <w:rFonts w:ascii="Times New Roman" w:eastAsia="Times New Roman" w:hAnsi="Times New Roman" w:cs="Times New Roman"/>
          <w:sz w:val="20"/>
          <w:szCs w:val="20"/>
          <w:lang w:eastAsia="tr-TR"/>
        </w:rPr>
        <w:t>özsermaye</w:t>
      </w:r>
      <w:proofErr w:type="spellEnd"/>
      <w:r w:rsidRPr="009E0E2E">
        <w:rPr>
          <w:rFonts w:ascii="Times New Roman" w:eastAsia="Times New Roman" w:hAnsi="Times New Roman" w:cs="Times New Roman"/>
          <w:sz w:val="20"/>
          <w:szCs w:val="20"/>
          <w:lang w:eastAsia="tr-TR"/>
        </w:rPr>
        <w:t xml:space="preserve"> tutarının 10 katı kadar, müşterilerden gelen emirlerin temsilci sıfatıyla kabul edilmesi ve bu emirlerin gerçekleştirilmek üzere başka kuruluşlara yönlendirilmesi faaliyetini yürütmek isteyen aracı kurumlar ise alım satım aracılığı faaliyeti için sahip olunması gereken </w:t>
      </w:r>
      <w:proofErr w:type="spellStart"/>
      <w:r w:rsidRPr="009E0E2E">
        <w:rPr>
          <w:rFonts w:ascii="Times New Roman" w:eastAsia="Times New Roman" w:hAnsi="Times New Roman" w:cs="Times New Roman"/>
          <w:sz w:val="20"/>
          <w:szCs w:val="20"/>
          <w:lang w:eastAsia="tr-TR"/>
        </w:rPr>
        <w:t>özsermaye</w:t>
      </w:r>
      <w:proofErr w:type="spellEnd"/>
      <w:r w:rsidRPr="009E0E2E">
        <w:rPr>
          <w:rFonts w:ascii="Times New Roman" w:eastAsia="Times New Roman" w:hAnsi="Times New Roman" w:cs="Times New Roman"/>
          <w:sz w:val="20"/>
          <w:szCs w:val="20"/>
          <w:lang w:eastAsia="tr-TR"/>
        </w:rPr>
        <w:t xml:space="preserve"> tutarının 3 katı kadar </w:t>
      </w:r>
      <w:proofErr w:type="spellStart"/>
      <w:r w:rsidRPr="009E0E2E">
        <w:rPr>
          <w:rFonts w:ascii="Times New Roman" w:eastAsia="Times New Roman" w:hAnsi="Times New Roman" w:cs="Times New Roman"/>
          <w:sz w:val="20"/>
          <w:szCs w:val="20"/>
          <w:lang w:eastAsia="tr-TR"/>
        </w:rPr>
        <w:t>özsermaye</w:t>
      </w:r>
      <w:proofErr w:type="spellEnd"/>
      <w:r w:rsidRPr="009E0E2E">
        <w:rPr>
          <w:rFonts w:ascii="Times New Roman" w:eastAsia="Times New Roman" w:hAnsi="Times New Roman" w:cs="Times New Roman"/>
          <w:sz w:val="20"/>
          <w:szCs w:val="20"/>
          <w:lang w:eastAsia="tr-TR"/>
        </w:rPr>
        <w:t xml:space="preserve"> bulundurmak zorundadır.”</w:t>
      </w:r>
      <w:proofErr w:type="gramEnd"/>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sz w:val="20"/>
          <w:szCs w:val="20"/>
          <w:lang w:eastAsia="tr-TR"/>
        </w:rPr>
        <w:t>MADDE 3</w:t>
      </w:r>
      <w:r w:rsidRPr="009E0E2E">
        <w:rPr>
          <w:rFonts w:ascii="Times New Roman" w:eastAsia="Times New Roman" w:hAnsi="Times New Roman" w:cs="Times New Roman"/>
          <w:sz w:val="20"/>
          <w:szCs w:val="20"/>
          <w:lang w:eastAsia="tr-TR"/>
        </w:rPr>
        <w:t>- Aynı Tebliğin 24 üncü maddesinin birinci ve ikinci fıkrası aşağıdaki şekilde değiştirilmiştir.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“Madde 24- Aracı kurumların döviz kuru riski her bir döviz cinsi itibariyle hesaplanacak net açık pozisyonlarının toplamından oluşur. Dövizle ilgili net açık pozisyon aşağıdaki şekilde hesaplanır: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a) Vadelerine bakılmaksızın, her bir döviz cinsi itibariyle varlıklardan yükümlülüklerin düşülmesiyle bulunan tutarlar,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b) Vadelerine bakılmaksızın, her bir döviz cinsi itibariyle vadeli işlem sözleşmeleri ve benzeri diğer sözleşmeler ile kaldıraçlı alım satım işlemleri çerçevesinde tutulmakta olan açık uzun ve kısa pozisyonların netleştirilmesi sonucu bulunan tutarlar,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xml:space="preserve">c) Döviz üzerine düzenlenmiş </w:t>
      </w:r>
      <w:proofErr w:type="gramStart"/>
      <w:r w:rsidRPr="009E0E2E">
        <w:rPr>
          <w:rFonts w:ascii="Times New Roman" w:eastAsia="Times New Roman" w:hAnsi="Times New Roman" w:cs="Times New Roman"/>
          <w:sz w:val="20"/>
          <w:szCs w:val="20"/>
          <w:lang w:eastAsia="tr-TR"/>
        </w:rPr>
        <w:t>opsiyon</w:t>
      </w:r>
      <w:proofErr w:type="gramEnd"/>
      <w:r w:rsidRPr="009E0E2E">
        <w:rPr>
          <w:rFonts w:ascii="Times New Roman" w:eastAsia="Times New Roman" w:hAnsi="Times New Roman" w:cs="Times New Roman"/>
          <w:sz w:val="20"/>
          <w:szCs w:val="20"/>
          <w:lang w:eastAsia="tr-TR"/>
        </w:rPr>
        <w:t xml:space="preserve"> sözleşmelerinin cari değerinin, opsiyonun deltası ile çarpılması sonucu bulunan tutarlar.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xml:space="preserve">Bu maddenin birinci fıkrasında yapılan hesaplamalar sonucunda her bir döviz cinsi itibari ile bulunan açık pozisyonlar Tebliğin 5 inci maddesinde yer alan hükümler çerçevesinde Türk Lirasına çevrilir. Döviz cinsine bakılmaksızın pozisyonlar uzun ve kısa olmak üzere ayrı </w:t>
      </w:r>
      <w:proofErr w:type="spellStart"/>
      <w:r w:rsidRPr="009E0E2E">
        <w:rPr>
          <w:rFonts w:ascii="Times New Roman" w:eastAsia="Times New Roman" w:hAnsi="Times New Roman" w:cs="Times New Roman"/>
          <w:sz w:val="20"/>
          <w:szCs w:val="20"/>
          <w:lang w:eastAsia="tr-TR"/>
        </w:rPr>
        <w:t>ayrıtoplanır</w:t>
      </w:r>
      <w:proofErr w:type="spellEnd"/>
      <w:r w:rsidRPr="009E0E2E">
        <w:rPr>
          <w:rFonts w:ascii="Times New Roman" w:eastAsia="Times New Roman" w:hAnsi="Times New Roman" w:cs="Times New Roman"/>
          <w:sz w:val="20"/>
          <w:szCs w:val="20"/>
          <w:lang w:eastAsia="tr-TR"/>
        </w:rPr>
        <w:t xml:space="preserve">. Döviz kuru riski hesaplamalarında, söz konusu net açık uzun ve net açık kısa pozisyon toplamından büyük olan tutar dikkate alınır. Bu şekilde bulunan </w:t>
      </w:r>
      <w:r w:rsidRPr="009E0E2E">
        <w:rPr>
          <w:rFonts w:ascii="Times New Roman" w:eastAsia="Times New Roman" w:hAnsi="Times New Roman" w:cs="Times New Roman"/>
          <w:sz w:val="20"/>
          <w:szCs w:val="20"/>
          <w:lang w:eastAsia="tr-TR"/>
        </w:rPr>
        <w:lastRenderedPageBreak/>
        <w:t>toplamın aracı kurumun sermaye yeterliliği tabanının %2 sini aşması halinde, aşan kısmın %8 i döviz kuru riski olarak dikkate alınır.”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sz w:val="20"/>
          <w:szCs w:val="20"/>
          <w:lang w:eastAsia="tr-TR"/>
        </w:rPr>
        <w:t>MADDE 4</w:t>
      </w:r>
      <w:r w:rsidRPr="009E0E2E">
        <w:rPr>
          <w:rFonts w:ascii="Times New Roman" w:eastAsia="Times New Roman" w:hAnsi="Times New Roman" w:cs="Times New Roman"/>
          <w:sz w:val="20"/>
          <w:szCs w:val="20"/>
          <w:lang w:eastAsia="tr-TR"/>
        </w:rPr>
        <w:t xml:space="preserve">- Aynı Tebliğ’in Ek/4’te yer alan Tebliğin Uygulaması İle İlgili Açıklamaların </w:t>
      </w:r>
      <w:proofErr w:type="gramStart"/>
      <w:r w:rsidRPr="009E0E2E">
        <w:rPr>
          <w:rFonts w:ascii="Times New Roman" w:eastAsia="Times New Roman" w:hAnsi="Times New Roman" w:cs="Times New Roman"/>
          <w:sz w:val="20"/>
          <w:szCs w:val="20"/>
          <w:lang w:eastAsia="tr-TR"/>
        </w:rPr>
        <w:t>VII.Risk</w:t>
      </w:r>
      <w:proofErr w:type="gramEnd"/>
      <w:r w:rsidRPr="009E0E2E">
        <w:rPr>
          <w:rFonts w:ascii="Times New Roman" w:eastAsia="Times New Roman" w:hAnsi="Times New Roman" w:cs="Times New Roman"/>
          <w:sz w:val="20"/>
          <w:szCs w:val="20"/>
          <w:lang w:eastAsia="tr-TR"/>
        </w:rPr>
        <w:t xml:space="preserve"> Karşılığı bölümünün D.Döviz Kuru Riski alt bölümü aşağıdaki şekilde değiştirilmiştir.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“Döviz kuru riski, aktif ve pasifte farklı döviz cinsinden ifade edilmiş kalemlerin bulunması nedeniyle ortaya çıkmaktadır. Döviz kuru riski için ayrılması gereken karşılıklar aşağıdaki örnek ile açıklanmıştır.</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xml:space="preserve">ABC aracı kurumunun </w:t>
      </w:r>
      <w:proofErr w:type="gramStart"/>
      <w:r w:rsidRPr="009E0E2E">
        <w:rPr>
          <w:rFonts w:ascii="Times New Roman" w:eastAsia="Times New Roman" w:hAnsi="Times New Roman" w:cs="Times New Roman"/>
          <w:sz w:val="20"/>
          <w:szCs w:val="20"/>
          <w:lang w:eastAsia="tr-TR"/>
        </w:rPr>
        <w:t>30/04/1998</w:t>
      </w:r>
      <w:proofErr w:type="gramEnd"/>
      <w:r w:rsidRPr="009E0E2E">
        <w:rPr>
          <w:rFonts w:ascii="Times New Roman" w:eastAsia="Times New Roman" w:hAnsi="Times New Roman" w:cs="Times New Roman"/>
          <w:sz w:val="20"/>
          <w:szCs w:val="20"/>
          <w:lang w:eastAsia="tr-TR"/>
        </w:rPr>
        <w:t xml:space="preserve"> tarihi itibariyle bilançosunun aşağıdaki şekilde oluştuğunu ve sermaye yeterliliği tabanının 200 TL olduğunu varsayalım. Bilançoda yabancı para cinsinden ifade edilmiş varlıklar ve borçlar bulunmaktadır. Bu kalemler cari döviz kurundan TL’ye çevrilmişlerdir.</w:t>
      </w:r>
    </w:p>
    <w:p w:rsidR="009E0E2E" w:rsidRPr="009E0E2E" w:rsidRDefault="009E0E2E" w:rsidP="009E0E2E">
      <w:pPr>
        <w:spacing w:after="0"/>
        <w:ind w:firstLine="567"/>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tbl>
      <w:tblPr>
        <w:tblW w:w="7139" w:type="dxa"/>
        <w:jc w:val="center"/>
        <w:tblInd w:w="70" w:type="dxa"/>
        <w:tblCellMar>
          <w:left w:w="70" w:type="dxa"/>
          <w:right w:w="70" w:type="dxa"/>
        </w:tblCellMar>
        <w:tblLook w:val="04A0"/>
      </w:tblPr>
      <w:tblGrid>
        <w:gridCol w:w="3657"/>
        <w:gridCol w:w="4107"/>
      </w:tblGrid>
      <w:tr w:rsidR="009E0E2E" w:rsidRPr="009E0E2E">
        <w:trPr>
          <w:jc w:val="center"/>
        </w:trPr>
        <w:tc>
          <w:tcPr>
            <w:tcW w:w="7139" w:type="dxa"/>
            <w:gridSpan w:val="2"/>
            <w:tcBorders>
              <w:top w:val="nil"/>
              <w:left w:val="nil"/>
              <w:bottom w:val="single" w:sz="6" w:space="0" w:color="auto"/>
              <w:right w:val="nil"/>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sz w:val="20"/>
                <w:szCs w:val="20"/>
                <w:lang w:eastAsia="tr-TR"/>
              </w:rPr>
              <w:t xml:space="preserve">ABC Aracı Kurumunun </w:t>
            </w:r>
            <w:proofErr w:type="gramStart"/>
            <w:r w:rsidRPr="009E0E2E">
              <w:rPr>
                <w:rFonts w:ascii="Times New Roman" w:eastAsia="Times New Roman" w:hAnsi="Times New Roman" w:cs="Times New Roman"/>
                <w:b/>
                <w:sz w:val="20"/>
                <w:szCs w:val="20"/>
                <w:lang w:eastAsia="tr-TR"/>
              </w:rPr>
              <w:t>31/08/1998</w:t>
            </w:r>
            <w:proofErr w:type="gramEnd"/>
            <w:r w:rsidRPr="009E0E2E">
              <w:rPr>
                <w:rFonts w:ascii="Times New Roman" w:eastAsia="Times New Roman" w:hAnsi="Times New Roman" w:cs="Times New Roman"/>
                <w:b/>
                <w:sz w:val="20"/>
                <w:szCs w:val="20"/>
                <w:lang w:eastAsia="tr-TR"/>
              </w:rPr>
              <w:t xml:space="preserve"> Tarihli Bilançosu</w:t>
            </w:r>
          </w:p>
        </w:tc>
      </w:tr>
      <w:tr w:rsidR="009E0E2E" w:rsidRPr="009E0E2E">
        <w:trPr>
          <w:jc w:val="center"/>
        </w:trPr>
        <w:tc>
          <w:tcPr>
            <w:tcW w:w="3388" w:type="dxa"/>
            <w:tcBorders>
              <w:top w:val="nil"/>
              <w:left w:val="nil"/>
              <w:bottom w:val="single" w:sz="6" w:space="0" w:color="auto"/>
              <w:right w:val="nil"/>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Aktif</w:t>
            </w:r>
          </w:p>
        </w:tc>
        <w:tc>
          <w:tcPr>
            <w:tcW w:w="3751" w:type="dxa"/>
            <w:tcBorders>
              <w:top w:val="nil"/>
              <w:left w:val="nil"/>
              <w:bottom w:val="single" w:sz="6" w:space="0" w:color="auto"/>
              <w:right w:val="nil"/>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Pasif</w:t>
            </w:r>
          </w:p>
        </w:tc>
      </w:tr>
      <w:tr w:rsidR="009E0E2E" w:rsidRPr="009E0E2E">
        <w:trPr>
          <w:jc w:val="center"/>
        </w:trPr>
        <w:tc>
          <w:tcPr>
            <w:tcW w:w="3388" w:type="dxa"/>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Menkul Kıymetler (ABD Doları)</w:t>
            </w:r>
            <w:proofErr w:type="gramStart"/>
            <w:r w:rsidRPr="009E0E2E">
              <w:rPr>
                <w:rFonts w:ascii="Times New Roman" w:eastAsia="Times New Roman" w:hAnsi="Times New Roman" w:cs="Times New Roman"/>
                <w:sz w:val="20"/>
                <w:szCs w:val="20"/>
                <w:lang w:eastAsia="tr-TR"/>
              </w:rPr>
              <w:t>.........</w:t>
            </w:r>
            <w:proofErr w:type="gramEnd"/>
            <w:r w:rsidRPr="009E0E2E">
              <w:rPr>
                <w:rFonts w:ascii="Times New Roman" w:eastAsia="Times New Roman" w:hAnsi="Times New Roman" w:cs="Times New Roman"/>
                <w:sz w:val="20"/>
                <w:szCs w:val="20"/>
                <w:lang w:eastAsia="tr-TR"/>
              </w:rPr>
              <w:t>4.200</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Menkul Kıymetler (Avro)</w:t>
            </w:r>
            <w:proofErr w:type="gramStart"/>
            <w:r w:rsidRPr="009E0E2E">
              <w:rPr>
                <w:rFonts w:ascii="Times New Roman" w:eastAsia="Times New Roman" w:hAnsi="Times New Roman" w:cs="Times New Roman"/>
                <w:sz w:val="20"/>
                <w:szCs w:val="20"/>
                <w:lang w:eastAsia="tr-TR"/>
              </w:rPr>
              <w:t>....................</w:t>
            </w:r>
            <w:proofErr w:type="gramEnd"/>
            <w:r w:rsidRPr="009E0E2E">
              <w:rPr>
                <w:rFonts w:ascii="Times New Roman" w:eastAsia="Times New Roman" w:hAnsi="Times New Roman" w:cs="Times New Roman"/>
                <w:sz w:val="20"/>
                <w:szCs w:val="20"/>
                <w:lang w:eastAsia="tr-TR"/>
              </w:rPr>
              <w:t>2.000</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Duran Değerler</w:t>
            </w:r>
            <w:proofErr w:type="gramStart"/>
            <w:r w:rsidRPr="009E0E2E">
              <w:rPr>
                <w:rFonts w:ascii="Times New Roman" w:eastAsia="Times New Roman" w:hAnsi="Times New Roman" w:cs="Times New Roman"/>
                <w:sz w:val="20"/>
                <w:szCs w:val="20"/>
                <w:lang w:eastAsia="tr-TR"/>
              </w:rPr>
              <w:t>........................................</w:t>
            </w:r>
            <w:proofErr w:type="gramEnd"/>
            <w:r w:rsidRPr="009E0E2E">
              <w:rPr>
                <w:rFonts w:ascii="Times New Roman" w:eastAsia="Times New Roman" w:hAnsi="Times New Roman" w:cs="Times New Roman"/>
                <w:sz w:val="20"/>
                <w:szCs w:val="20"/>
                <w:lang w:eastAsia="tr-TR"/>
              </w:rPr>
              <w:t>300</w:t>
            </w:r>
          </w:p>
        </w:tc>
        <w:tc>
          <w:tcPr>
            <w:tcW w:w="3751" w:type="dxa"/>
            <w:tcBorders>
              <w:top w:val="nil"/>
              <w:left w:val="single" w:sz="6" w:space="0" w:color="auto"/>
              <w:bottom w:val="nil"/>
              <w:right w:val="nil"/>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Kısa vadeli Borçlar (Avro)</w:t>
            </w:r>
            <w:proofErr w:type="gramStart"/>
            <w:r w:rsidRPr="009E0E2E">
              <w:rPr>
                <w:rFonts w:ascii="Times New Roman" w:eastAsia="Times New Roman" w:hAnsi="Times New Roman" w:cs="Times New Roman"/>
                <w:sz w:val="20"/>
                <w:szCs w:val="20"/>
                <w:lang w:eastAsia="tr-TR"/>
              </w:rPr>
              <w:t>...........................</w:t>
            </w:r>
            <w:proofErr w:type="gramEnd"/>
            <w:r w:rsidRPr="009E0E2E">
              <w:rPr>
                <w:rFonts w:ascii="Times New Roman" w:eastAsia="Times New Roman" w:hAnsi="Times New Roman" w:cs="Times New Roman"/>
                <w:sz w:val="20"/>
                <w:szCs w:val="20"/>
                <w:lang w:eastAsia="tr-TR"/>
              </w:rPr>
              <w:t>4.000</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Kısa vadeli Borçlar (ABD Doları)</w:t>
            </w:r>
            <w:proofErr w:type="gramStart"/>
            <w:r w:rsidRPr="009E0E2E">
              <w:rPr>
                <w:rFonts w:ascii="Times New Roman" w:eastAsia="Times New Roman" w:hAnsi="Times New Roman" w:cs="Times New Roman"/>
                <w:sz w:val="20"/>
                <w:szCs w:val="20"/>
                <w:lang w:eastAsia="tr-TR"/>
              </w:rPr>
              <w:t>...............</w:t>
            </w:r>
            <w:proofErr w:type="gramEnd"/>
            <w:r w:rsidRPr="009E0E2E">
              <w:rPr>
                <w:rFonts w:ascii="Times New Roman" w:eastAsia="Times New Roman" w:hAnsi="Times New Roman" w:cs="Times New Roman"/>
                <w:sz w:val="20"/>
                <w:szCs w:val="20"/>
                <w:lang w:eastAsia="tr-TR"/>
              </w:rPr>
              <w:t>2.000</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xml:space="preserve">Sermaye </w:t>
            </w:r>
            <w:proofErr w:type="gramStart"/>
            <w:r w:rsidRPr="009E0E2E">
              <w:rPr>
                <w:rFonts w:ascii="Times New Roman" w:eastAsia="Times New Roman" w:hAnsi="Times New Roman" w:cs="Times New Roman"/>
                <w:sz w:val="20"/>
                <w:szCs w:val="20"/>
                <w:lang w:eastAsia="tr-TR"/>
              </w:rPr>
              <w:t>..........................................................</w:t>
            </w:r>
            <w:proofErr w:type="gramEnd"/>
            <w:r w:rsidRPr="009E0E2E">
              <w:rPr>
                <w:rFonts w:ascii="Times New Roman" w:eastAsia="Times New Roman" w:hAnsi="Times New Roman" w:cs="Times New Roman"/>
                <w:sz w:val="20"/>
                <w:szCs w:val="20"/>
                <w:lang w:eastAsia="tr-TR"/>
              </w:rPr>
              <w:t>500</w:t>
            </w:r>
          </w:p>
        </w:tc>
      </w:tr>
      <w:tr w:rsidR="009E0E2E" w:rsidRPr="009E0E2E">
        <w:trPr>
          <w:jc w:val="center"/>
        </w:trPr>
        <w:tc>
          <w:tcPr>
            <w:tcW w:w="3388" w:type="dxa"/>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sz w:val="20"/>
                <w:szCs w:val="20"/>
                <w:lang w:eastAsia="tr-TR"/>
              </w:rPr>
              <w:t>Toplam</w:t>
            </w:r>
            <w:proofErr w:type="gramStart"/>
            <w:r w:rsidRPr="009E0E2E">
              <w:rPr>
                <w:rFonts w:ascii="Times New Roman" w:eastAsia="Times New Roman" w:hAnsi="Times New Roman" w:cs="Times New Roman"/>
                <w:b/>
                <w:sz w:val="20"/>
                <w:szCs w:val="20"/>
                <w:lang w:eastAsia="tr-TR"/>
              </w:rPr>
              <w:t>................................................</w:t>
            </w:r>
            <w:proofErr w:type="gramEnd"/>
            <w:r w:rsidRPr="009E0E2E">
              <w:rPr>
                <w:rFonts w:ascii="Times New Roman" w:eastAsia="Times New Roman" w:hAnsi="Times New Roman" w:cs="Times New Roman"/>
                <w:b/>
                <w:sz w:val="20"/>
                <w:szCs w:val="20"/>
                <w:lang w:eastAsia="tr-TR"/>
              </w:rPr>
              <w:t>6.500</w:t>
            </w:r>
          </w:p>
        </w:tc>
        <w:tc>
          <w:tcPr>
            <w:tcW w:w="3751" w:type="dxa"/>
            <w:tcBorders>
              <w:top w:val="nil"/>
              <w:left w:val="single" w:sz="6" w:space="0" w:color="auto"/>
              <w:bottom w:val="nil"/>
              <w:right w:val="nil"/>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b/>
                <w:sz w:val="20"/>
                <w:szCs w:val="20"/>
                <w:lang w:eastAsia="tr-TR"/>
              </w:rPr>
              <w:t>Toplam</w:t>
            </w:r>
            <w:proofErr w:type="gramStart"/>
            <w:r w:rsidRPr="009E0E2E">
              <w:rPr>
                <w:rFonts w:ascii="Times New Roman" w:eastAsia="Times New Roman" w:hAnsi="Times New Roman" w:cs="Times New Roman"/>
                <w:b/>
                <w:sz w:val="20"/>
                <w:szCs w:val="20"/>
                <w:lang w:eastAsia="tr-TR"/>
              </w:rPr>
              <w:t>.........................................................</w:t>
            </w:r>
            <w:proofErr w:type="gramEnd"/>
            <w:r w:rsidRPr="009E0E2E">
              <w:rPr>
                <w:rFonts w:ascii="Times New Roman" w:eastAsia="Times New Roman" w:hAnsi="Times New Roman" w:cs="Times New Roman"/>
                <w:b/>
                <w:sz w:val="20"/>
                <w:szCs w:val="20"/>
                <w:lang w:eastAsia="tr-TR"/>
              </w:rPr>
              <w:t>6.500</w:t>
            </w:r>
          </w:p>
        </w:tc>
      </w:tr>
    </w:tbl>
    <w:p w:rsidR="009E0E2E" w:rsidRPr="009E0E2E" w:rsidRDefault="009E0E2E" w:rsidP="009E0E2E">
      <w:pPr>
        <w:spacing w:after="0"/>
        <w:ind w:firstLine="567"/>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xml:space="preserve">Döviz kuru riski için karşılık ayrılmasında, döviz olarak sahip olunan pozisyonlar ilk önce uzun ve kısa olarak ikiye ayrılmaktadır. Uzun pozisyonlar, bilançonun aktifinde olan varlıklar ile uzun pozisyon vadeli işlem ve </w:t>
      </w:r>
      <w:proofErr w:type="gramStart"/>
      <w:r w:rsidRPr="009E0E2E">
        <w:rPr>
          <w:rFonts w:ascii="Times New Roman" w:eastAsia="Times New Roman" w:hAnsi="Times New Roman" w:cs="Times New Roman"/>
          <w:sz w:val="20"/>
          <w:szCs w:val="20"/>
          <w:lang w:eastAsia="tr-TR"/>
        </w:rPr>
        <w:t>opsiyon</w:t>
      </w:r>
      <w:proofErr w:type="gramEnd"/>
      <w:r w:rsidRPr="009E0E2E">
        <w:rPr>
          <w:rFonts w:ascii="Times New Roman" w:eastAsia="Times New Roman" w:hAnsi="Times New Roman" w:cs="Times New Roman"/>
          <w:sz w:val="20"/>
          <w:szCs w:val="20"/>
          <w:lang w:eastAsia="tr-TR"/>
        </w:rPr>
        <w:t xml:space="preserve"> sözleşmelerinden, kısa pozisyonlar ise bilançonun pasifinde yer alan kalemler ile kısa pozisyon vadeli işlem ve opsiyon sözleşmelerinden oluşmaktadır. Vadeli işlem ve </w:t>
      </w:r>
      <w:proofErr w:type="gramStart"/>
      <w:r w:rsidRPr="009E0E2E">
        <w:rPr>
          <w:rFonts w:ascii="Times New Roman" w:eastAsia="Times New Roman" w:hAnsi="Times New Roman" w:cs="Times New Roman"/>
          <w:sz w:val="20"/>
          <w:szCs w:val="20"/>
          <w:lang w:eastAsia="tr-TR"/>
        </w:rPr>
        <w:t>opsiyon</w:t>
      </w:r>
      <w:proofErr w:type="gramEnd"/>
      <w:r w:rsidRPr="009E0E2E">
        <w:rPr>
          <w:rFonts w:ascii="Times New Roman" w:eastAsia="Times New Roman" w:hAnsi="Times New Roman" w:cs="Times New Roman"/>
          <w:sz w:val="20"/>
          <w:szCs w:val="20"/>
          <w:lang w:eastAsia="tr-TR"/>
        </w:rPr>
        <w:t xml:space="preserve"> sözleşmeleri ile kaldıraçlı alım satım işlemlerine ilişkin risk karşılıklarının hesaplanmasında, işlem, iki ayrı pozisyon olarak değerlendirilir. Örneğin; 1.30 fiyat seviyesinden AVRO/ABD Doları </w:t>
      </w:r>
      <w:proofErr w:type="gramStart"/>
      <w:r w:rsidRPr="009E0E2E">
        <w:rPr>
          <w:rFonts w:ascii="Times New Roman" w:eastAsia="Times New Roman" w:hAnsi="Times New Roman" w:cs="Times New Roman"/>
          <w:sz w:val="20"/>
          <w:szCs w:val="20"/>
          <w:lang w:eastAsia="tr-TR"/>
        </w:rPr>
        <w:t>parite</w:t>
      </w:r>
      <w:proofErr w:type="gramEnd"/>
      <w:r w:rsidRPr="009E0E2E">
        <w:rPr>
          <w:rFonts w:ascii="Times New Roman" w:eastAsia="Times New Roman" w:hAnsi="Times New Roman" w:cs="Times New Roman"/>
          <w:sz w:val="20"/>
          <w:szCs w:val="20"/>
          <w:lang w:eastAsia="tr-TR"/>
        </w:rPr>
        <w:t xml:space="preserve"> çiftinde uzun pozisyon alan bir aracı kurumun, bu pozisyonu 130 ABD Doları karşılığında 100 AVRO almış gibi değerlendirilmelidir. Diğer bir ifadeyle, aracı kurumun dövize ilişkin net açık pozisyonunun hesaplanmasında, 130 ABD Doları karşılığı kısa pozisyona, 100 AVRO karşılığı da uzun pozisyona sahip olduğu varsayılır. Net açık pozisyon aynı döviz cinsinden uzun ve kısa pozisyonların birbirinden mahsup edilmesi sonucu bulunan tutarı ifade etmektedir. Bu açıklamalar çerçevesinde, aracı kurumun net açık pozisyonu aşağıdaki şekilde hesaplanır.</w:t>
      </w:r>
    </w:p>
    <w:p w:rsidR="009E0E2E" w:rsidRPr="009E0E2E" w:rsidRDefault="009E0E2E" w:rsidP="009E0E2E">
      <w:pPr>
        <w:spacing w:after="0"/>
        <w:ind w:firstLine="567"/>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 </w:t>
      </w:r>
    </w:p>
    <w:tbl>
      <w:tblPr>
        <w:tblW w:w="70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1134"/>
        <w:gridCol w:w="2149"/>
        <w:gridCol w:w="2009"/>
        <w:gridCol w:w="1782"/>
      </w:tblGrid>
      <w:tr w:rsidR="009E0E2E" w:rsidRPr="009E0E2E">
        <w:trPr>
          <w:cantSplit/>
          <w:trHeight w:val="20"/>
          <w:jc w:val="center"/>
        </w:trPr>
        <w:tc>
          <w:tcPr>
            <w:tcW w:w="1134"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Döviz Cinsi</w:t>
            </w:r>
          </w:p>
        </w:tc>
        <w:tc>
          <w:tcPr>
            <w:tcW w:w="2149"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Uzun Pozisyon</w:t>
            </w:r>
          </w:p>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(TL)</w:t>
            </w:r>
          </w:p>
        </w:tc>
        <w:tc>
          <w:tcPr>
            <w:tcW w:w="2009"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Kısa Pozisyon</w:t>
            </w:r>
          </w:p>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(TL)</w:t>
            </w:r>
          </w:p>
        </w:tc>
        <w:tc>
          <w:tcPr>
            <w:tcW w:w="1782"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Net Açık Uzun (Kısa) Pozisyon</w:t>
            </w:r>
          </w:p>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(TL)</w:t>
            </w:r>
          </w:p>
        </w:tc>
      </w:tr>
      <w:tr w:rsidR="009E0E2E" w:rsidRPr="009E0E2E">
        <w:trPr>
          <w:cantSplit/>
          <w:trHeight w:val="20"/>
          <w:jc w:val="center"/>
        </w:trPr>
        <w:tc>
          <w:tcPr>
            <w:tcW w:w="1134"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ABD Doları</w:t>
            </w:r>
          </w:p>
        </w:tc>
        <w:tc>
          <w:tcPr>
            <w:tcW w:w="2149"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4.200</w:t>
            </w:r>
          </w:p>
        </w:tc>
        <w:tc>
          <w:tcPr>
            <w:tcW w:w="2009"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2.000</w:t>
            </w:r>
          </w:p>
        </w:tc>
        <w:tc>
          <w:tcPr>
            <w:tcW w:w="1782"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2.200</w:t>
            </w:r>
          </w:p>
        </w:tc>
      </w:tr>
      <w:tr w:rsidR="009E0E2E" w:rsidRPr="009E0E2E">
        <w:trPr>
          <w:cantSplit/>
          <w:trHeight w:val="20"/>
          <w:jc w:val="center"/>
        </w:trPr>
        <w:tc>
          <w:tcPr>
            <w:tcW w:w="1134"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AVRO</w:t>
            </w:r>
          </w:p>
        </w:tc>
        <w:tc>
          <w:tcPr>
            <w:tcW w:w="2149"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2.000</w:t>
            </w:r>
          </w:p>
        </w:tc>
        <w:tc>
          <w:tcPr>
            <w:tcW w:w="2009"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4.000</w:t>
            </w:r>
          </w:p>
        </w:tc>
        <w:tc>
          <w:tcPr>
            <w:tcW w:w="1782" w:type="dxa"/>
            <w:tcBorders>
              <w:top w:val="single" w:sz="6" w:space="0" w:color="auto"/>
              <w:left w:val="single" w:sz="6" w:space="0" w:color="auto"/>
              <w:bottom w:val="single" w:sz="6" w:space="0" w:color="auto"/>
              <w:right w:val="single" w:sz="6" w:space="0" w:color="auto"/>
            </w:tcBorders>
            <w:hideMark/>
          </w:tcPr>
          <w:p w:rsidR="009E0E2E" w:rsidRPr="009E0E2E" w:rsidRDefault="009E0E2E" w:rsidP="009E0E2E">
            <w:pPr>
              <w:spacing w:after="0" w:line="20" w:lineRule="atLeast"/>
              <w:jc w:val="both"/>
              <w:rPr>
                <w:rFonts w:ascii="Times New Roman" w:eastAsia="Times New Roman" w:hAnsi="Times New Roman" w:cs="Times New Roman"/>
                <w:sz w:val="20"/>
                <w:szCs w:val="20"/>
                <w:lang w:eastAsia="tr-TR"/>
              </w:rPr>
            </w:pPr>
            <w:r w:rsidRPr="009E0E2E">
              <w:rPr>
                <w:rFonts w:ascii="Times New Roman" w:eastAsia="Times New Roman" w:hAnsi="Times New Roman" w:cs="Times New Roman"/>
                <w:sz w:val="20"/>
                <w:szCs w:val="20"/>
                <w:lang w:eastAsia="tr-TR"/>
              </w:rPr>
              <w:t>(2.000)</w:t>
            </w:r>
          </w:p>
        </w:tc>
      </w:tr>
    </w:tbl>
    <w:p w:rsidR="009E0E2E" w:rsidRPr="009E0E2E" w:rsidRDefault="009E0E2E" w:rsidP="004127D4">
      <w:pPr>
        <w:rPr>
          <w:rFonts w:ascii="Times New Roman" w:hAnsi="Times New Roman" w:cs="Times New Roman"/>
          <w:b/>
          <w:sz w:val="20"/>
          <w:szCs w:val="20"/>
          <w:lang w:val="en-GB"/>
        </w:rPr>
      </w:pPr>
    </w:p>
    <w:sectPr w:rsidR="009E0E2E" w:rsidRPr="009E0E2E"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2FF" w:rsidRDefault="004832FF" w:rsidP="003A1052">
      <w:pPr>
        <w:spacing w:after="0" w:line="240" w:lineRule="auto"/>
      </w:pPr>
      <w:r>
        <w:separator/>
      </w:r>
    </w:p>
  </w:endnote>
  <w:endnote w:type="continuationSeparator" w:id="0">
    <w:p w:rsidR="004832FF" w:rsidRDefault="004832F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2FF" w:rsidRDefault="004832FF" w:rsidP="003A1052">
      <w:pPr>
        <w:spacing w:after="0" w:line="240" w:lineRule="auto"/>
      </w:pPr>
      <w:r>
        <w:separator/>
      </w:r>
    </w:p>
  </w:footnote>
  <w:footnote w:type="continuationSeparator" w:id="0">
    <w:p w:rsidR="004832FF" w:rsidRDefault="004832F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6000D"/>
    <w:rsid w:val="00262291"/>
    <w:rsid w:val="002977C1"/>
    <w:rsid w:val="002B13F3"/>
    <w:rsid w:val="002C52C2"/>
    <w:rsid w:val="002D4761"/>
    <w:rsid w:val="002D679F"/>
    <w:rsid w:val="002F5DD8"/>
    <w:rsid w:val="003817A3"/>
    <w:rsid w:val="00387118"/>
    <w:rsid w:val="003A1052"/>
    <w:rsid w:val="003A43C1"/>
    <w:rsid w:val="003D5023"/>
    <w:rsid w:val="003E7E22"/>
    <w:rsid w:val="004114C2"/>
    <w:rsid w:val="004127D4"/>
    <w:rsid w:val="004349E9"/>
    <w:rsid w:val="00440367"/>
    <w:rsid w:val="00482025"/>
    <w:rsid w:val="004832FF"/>
    <w:rsid w:val="00487223"/>
    <w:rsid w:val="00487ADF"/>
    <w:rsid w:val="004B1FB5"/>
    <w:rsid w:val="004C2BC9"/>
    <w:rsid w:val="004E33F1"/>
    <w:rsid w:val="004F0094"/>
    <w:rsid w:val="0053249B"/>
    <w:rsid w:val="0053328B"/>
    <w:rsid w:val="0057318F"/>
    <w:rsid w:val="005A0FFF"/>
    <w:rsid w:val="005E5275"/>
    <w:rsid w:val="00627628"/>
    <w:rsid w:val="00642DC9"/>
    <w:rsid w:val="006864B7"/>
    <w:rsid w:val="00687BCB"/>
    <w:rsid w:val="006938DD"/>
    <w:rsid w:val="006B16F2"/>
    <w:rsid w:val="006C2D9D"/>
    <w:rsid w:val="00741B89"/>
    <w:rsid w:val="00764A2F"/>
    <w:rsid w:val="0076781D"/>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85E37"/>
    <w:rsid w:val="009B3906"/>
    <w:rsid w:val="009D2E87"/>
    <w:rsid w:val="009E0E2E"/>
    <w:rsid w:val="009F6B64"/>
    <w:rsid w:val="00A2154C"/>
    <w:rsid w:val="00A2531A"/>
    <w:rsid w:val="00A256DC"/>
    <w:rsid w:val="00A50F85"/>
    <w:rsid w:val="00AD27E2"/>
    <w:rsid w:val="00AF5538"/>
    <w:rsid w:val="00AF5CA9"/>
    <w:rsid w:val="00B7286A"/>
    <w:rsid w:val="00B83D4A"/>
    <w:rsid w:val="00BA14DA"/>
    <w:rsid w:val="00BE395A"/>
    <w:rsid w:val="00C01829"/>
    <w:rsid w:val="00C25FDE"/>
    <w:rsid w:val="00C54042"/>
    <w:rsid w:val="00C67928"/>
    <w:rsid w:val="00C71342"/>
    <w:rsid w:val="00CB3FDE"/>
    <w:rsid w:val="00CC4493"/>
    <w:rsid w:val="00CE4354"/>
    <w:rsid w:val="00CE5D2E"/>
    <w:rsid w:val="00D241B1"/>
    <w:rsid w:val="00DD29D1"/>
    <w:rsid w:val="00DE5DFB"/>
    <w:rsid w:val="00DF17A9"/>
    <w:rsid w:val="00E01239"/>
    <w:rsid w:val="00E24DC4"/>
    <w:rsid w:val="00E45F09"/>
    <w:rsid w:val="00E8213C"/>
    <w:rsid w:val="00EB2764"/>
    <w:rsid w:val="00EB5B90"/>
    <w:rsid w:val="00EB77CA"/>
    <w:rsid w:val="00ED45B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styleId="Gl">
    <w:name w:val="Strong"/>
    <w:basedOn w:val="VarsaylanParagrafYazTipi"/>
    <w:uiPriority w:val="22"/>
    <w:qFormat/>
    <w:rsid w:val="004127D4"/>
    <w:rPr>
      <w:b/>
      <w:b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853</Words>
  <Characters>4868</Characters>
  <Application>Microsoft Office Word</Application>
  <DocSecurity>0</DocSecurity>
  <Lines>40</Lines>
  <Paragraphs>11</Paragraphs>
  <ScaleCrop>false</ScaleCrop>
  <Company>TURMOB</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108</cp:revision>
  <dcterms:created xsi:type="dcterms:W3CDTF">2011-07-01T05:43:00Z</dcterms:created>
  <dcterms:modified xsi:type="dcterms:W3CDTF">2011-09-06T06:12:00Z</dcterms:modified>
</cp:coreProperties>
</file>