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D3071D" w:rsidRDefault="009F6B64">
      <w:pPr>
        <w:rPr>
          <w:rFonts w:ascii="Times New Roman" w:hAnsi="Times New Roman" w:cs="Times New Roman"/>
          <w:sz w:val="20"/>
          <w:szCs w:val="20"/>
        </w:rPr>
      </w:pPr>
    </w:p>
    <w:p w:rsidR="00A256DC" w:rsidRPr="00D3071D" w:rsidRDefault="00BA14DA" w:rsidP="00A256DC">
      <w:pPr>
        <w:pStyle w:val="NormalWeb"/>
        <w:spacing w:before="0" w:beforeAutospacing="0" w:after="0" w:afterAutospacing="0" w:line="276" w:lineRule="auto"/>
        <w:rPr>
          <w:b/>
          <w:color w:val="auto"/>
          <w:sz w:val="20"/>
          <w:szCs w:val="20"/>
          <w:u w:val="single"/>
        </w:rPr>
      </w:pPr>
      <w:r w:rsidRPr="00D3071D">
        <w:rPr>
          <w:b/>
          <w:color w:val="auto"/>
          <w:sz w:val="20"/>
          <w:szCs w:val="20"/>
          <w:u w:val="single"/>
        </w:rPr>
        <w:t>27</w:t>
      </w:r>
      <w:r w:rsidR="004114C2" w:rsidRPr="00D3071D">
        <w:rPr>
          <w:b/>
          <w:color w:val="auto"/>
          <w:sz w:val="20"/>
          <w:szCs w:val="20"/>
          <w:u w:val="single"/>
        </w:rPr>
        <w:t xml:space="preserve"> Ağustos </w:t>
      </w:r>
      <w:r w:rsidR="009F6B64" w:rsidRPr="00D3071D">
        <w:rPr>
          <w:b/>
          <w:color w:val="auto"/>
          <w:sz w:val="20"/>
          <w:szCs w:val="20"/>
          <w:u w:val="single"/>
        </w:rPr>
        <w:t>2011 Tarih,</w:t>
      </w:r>
      <w:r w:rsidR="009F6B64" w:rsidRPr="00D3071D">
        <w:rPr>
          <w:b/>
          <w:color w:val="auto"/>
          <w:sz w:val="20"/>
          <w:szCs w:val="20"/>
          <w:u w:val="single"/>
        </w:rPr>
        <w:tab/>
      </w:r>
      <w:r w:rsidR="009F6B64" w:rsidRPr="00D3071D">
        <w:rPr>
          <w:b/>
          <w:color w:val="auto"/>
          <w:sz w:val="20"/>
          <w:szCs w:val="20"/>
          <w:u w:val="single"/>
        </w:rPr>
        <w:tab/>
      </w:r>
      <w:r w:rsidR="009F6B64" w:rsidRPr="00D3071D">
        <w:rPr>
          <w:b/>
          <w:color w:val="auto"/>
          <w:sz w:val="20"/>
          <w:szCs w:val="20"/>
          <w:u w:val="single"/>
        </w:rPr>
        <w:tab/>
      </w:r>
      <w:r w:rsidR="009F6B64" w:rsidRPr="00D3071D">
        <w:rPr>
          <w:b/>
          <w:color w:val="auto"/>
          <w:sz w:val="20"/>
          <w:szCs w:val="20"/>
          <w:u w:val="single"/>
        </w:rPr>
        <w:tab/>
      </w:r>
      <w:r w:rsidR="009F6B64" w:rsidRPr="00D3071D">
        <w:rPr>
          <w:b/>
          <w:color w:val="auto"/>
          <w:sz w:val="20"/>
          <w:szCs w:val="20"/>
          <w:u w:val="single"/>
        </w:rPr>
        <w:tab/>
      </w:r>
      <w:r w:rsidR="009F6B64" w:rsidRPr="00D3071D">
        <w:rPr>
          <w:b/>
          <w:color w:val="auto"/>
          <w:sz w:val="20"/>
          <w:szCs w:val="20"/>
          <w:u w:val="single"/>
        </w:rPr>
        <w:tab/>
      </w:r>
      <w:r w:rsidR="00127623" w:rsidRPr="00D3071D">
        <w:rPr>
          <w:b/>
          <w:color w:val="auto"/>
          <w:sz w:val="20"/>
          <w:szCs w:val="20"/>
          <w:u w:val="single"/>
        </w:rPr>
        <w:tab/>
      </w:r>
      <w:r w:rsidR="00127623" w:rsidRPr="00D3071D">
        <w:rPr>
          <w:b/>
          <w:color w:val="auto"/>
          <w:sz w:val="20"/>
          <w:szCs w:val="20"/>
          <w:u w:val="single"/>
        </w:rPr>
        <w:tab/>
      </w:r>
      <w:r w:rsidR="00A256DC" w:rsidRPr="00D3071D">
        <w:rPr>
          <w:b/>
          <w:color w:val="auto"/>
          <w:sz w:val="20"/>
          <w:szCs w:val="20"/>
          <w:u w:val="single"/>
        </w:rPr>
        <w:tab/>
      </w:r>
      <w:r w:rsidR="00FF555D" w:rsidRPr="00D3071D">
        <w:rPr>
          <w:b/>
          <w:color w:val="auto"/>
          <w:sz w:val="20"/>
          <w:szCs w:val="20"/>
          <w:u w:val="single"/>
        </w:rPr>
        <w:t>S</w:t>
      </w:r>
      <w:r w:rsidR="00487223" w:rsidRPr="00D3071D">
        <w:rPr>
          <w:b/>
          <w:color w:val="auto"/>
          <w:sz w:val="20"/>
          <w:szCs w:val="20"/>
          <w:u w:val="single"/>
        </w:rPr>
        <w:t>ayı: 280</w:t>
      </w:r>
      <w:r w:rsidRPr="00D3071D">
        <w:rPr>
          <w:b/>
          <w:color w:val="auto"/>
          <w:sz w:val="20"/>
          <w:szCs w:val="20"/>
          <w:u w:val="single"/>
        </w:rPr>
        <w:t>38</w:t>
      </w:r>
    </w:p>
    <w:p w:rsidR="00D3071D" w:rsidRDefault="00D3071D" w:rsidP="00D3071D">
      <w:pPr>
        <w:pStyle w:val="NormalWeb"/>
        <w:spacing w:before="0" w:beforeAutospacing="0" w:after="0" w:afterAutospacing="0" w:line="276" w:lineRule="auto"/>
        <w:rPr>
          <w:b/>
          <w:sz w:val="20"/>
          <w:szCs w:val="20"/>
        </w:rPr>
      </w:pPr>
    </w:p>
    <w:p w:rsidR="00D3071D" w:rsidRPr="00D3071D" w:rsidRDefault="00D3071D" w:rsidP="00D3071D">
      <w:pPr>
        <w:pStyle w:val="NormalWeb"/>
        <w:spacing w:before="0" w:beforeAutospacing="0" w:after="0" w:afterAutospacing="0" w:line="276" w:lineRule="auto"/>
        <w:rPr>
          <w:b/>
          <w:sz w:val="20"/>
          <w:szCs w:val="20"/>
        </w:rPr>
      </w:pPr>
      <w:r w:rsidRPr="00D3071D">
        <w:rPr>
          <w:b/>
          <w:sz w:val="20"/>
          <w:szCs w:val="20"/>
        </w:rPr>
        <w:t>Başbakanlık (Hazine Müsteşarlığı)’tan:</w:t>
      </w:r>
    </w:p>
    <w:p w:rsidR="00D3071D" w:rsidRPr="00D3071D" w:rsidRDefault="00D3071D" w:rsidP="00D3071D">
      <w:pPr>
        <w:pStyle w:val="2-ortabaslk"/>
        <w:spacing w:before="0" w:beforeAutospacing="0" w:after="0" w:afterAutospacing="0" w:line="276" w:lineRule="auto"/>
        <w:rPr>
          <w:sz w:val="20"/>
          <w:szCs w:val="20"/>
        </w:rPr>
      </w:pPr>
      <w:r w:rsidRPr="00D3071D">
        <w:rPr>
          <w:sz w:val="20"/>
          <w:szCs w:val="20"/>
        </w:rPr>
        <w:t> </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TRAFİK KAZALARI NEDENİYLE İLGİLİLERE SUNULAN SAĞLIK</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HİZMET BEDELLERİNİN TAHSİLİNE İLİŞKİN USUL VE</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ESASLAR HAKKINDA YÖNETMELİK</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 </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BİRİNCİ BÖLÜM</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Amaç, Kapsam, Dayanak ve Tanımlar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Amaç ve kapsam</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1 –</w:t>
      </w:r>
      <w:r w:rsidRPr="00D3071D">
        <w:rPr>
          <w:rFonts w:ascii="Times New Roman" w:hAnsi="Times New Roman" w:cs="Times New Roman"/>
          <w:sz w:val="20"/>
          <w:szCs w:val="20"/>
        </w:rPr>
        <w:t xml:space="preserve"> (1) Bu Yönetmeliğin amacı trafik kazaları nedeniyle ilgililere sunulan sağlık hizmet bedellerinin tahsiline ilişkin usul ve esasların belirlenmesidir.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(2) Ülkemizde meydana gelen trafik kazaları bu yönetmeliğin kapsamındadır.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(3) Bu Yönetmelik Zorunlu Trafik Sigortası, Zorunlu Taşımacılık Sigortasını ve Zorunlu Koltuk Ferdi Kaza Sigortasını kapsar.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Dayanak</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 xml:space="preserve">MADDE 2 – </w:t>
      </w:r>
      <w:r w:rsidRPr="00D3071D">
        <w:rPr>
          <w:rFonts w:ascii="Times New Roman" w:hAnsi="Times New Roman" w:cs="Times New Roman"/>
          <w:sz w:val="20"/>
          <w:szCs w:val="20"/>
        </w:rPr>
        <w:t xml:space="preserve">(1) Bu Yönetmelik </w:t>
      </w:r>
      <w:proofErr w:type="gramStart"/>
      <w:r w:rsidRPr="00D3071D">
        <w:rPr>
          <w:rFonts w:ascii="Times New Roman" w:hAnsi="Times New Roman" w:cs="Times New Roman"/>
          <w:sz w:val="20"/>
          <w:szCs w:val="20"/>
        </w:rPr>
        <w:t>13/10/1983</w:t>
      </w:r>
      <w:proofErr w:type="gramEnd"/>
      <w:r w:rsidRPr="00D3071D">
        <w:rPr>
          <w:rFonts w:ascii="Times New Roman" w:hAnsi="Times New Roman" w:cs="Times New Roman"/>
          <w:sz w:val="20"/>
          <w:szCs w:val="20"/>
        </w:rPr>
        <w:t xml:space="preserve"> tarihli ve 2918 sayılı Karayolları Trafik Kanununun 98 inci maddesine ve 13/2/2011 tarihli ve 6111 sayılı Bazı Alacakların Yeniden Yapılandırılması ile Sosyal Sigortalar ve Genel Sağlık Sigortası Kanunu ve Diğer Bazı Kanun ve Kanun Hükmünde Kararnamelerde Değişiklik Yapılması Hakkında Kanunun Geçici 1 inci maddesine dayanılarak hazırlanmıştır.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Tanımlar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3 –</w:t>
      </w:r>
      <w:r w:rsidRPr="00D3071D">
        <w:rPr>
          <w:rFonts w:ascii="Times New Roman" w:hAnsi="Times New Roman" w:cs="Times New Roman"/>
          <w:sz w:val="20"/>
          <w:szCs w:val="20"/>
        </w:rPr>
        <w:t xml:space="preserve"> (1) Bu Yönetmelik geçen,</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a) Büro: </w:t>
      </w:r>
      <w:proofErr w:type="gramStart"/>
      <w:r w:rsidRPr="00D3071D">
        <w:rPr>
          <w:rFonts w:ascii="Times New Roman" w:hAnsi="Times New Roman" w:cs="Times New Roman"/>
          <w:sz w:val="20"/>
          <w:szCs w:val="20"/>
        </w:rPr>
        <w:t>28/6/2008</w:t>
      </w:r>
      <w:proofErr w:type="gramEnd"/>
      <w:r w:rsidRPr="00D3071D">
        <w:rPr>
          <w:rFonts w:ascii="Times New Roman" w:hAnsi="Times New Roman" w:cs="Times New Roman"/>
          <w:sz w:val="20"/>
          <w:szCs w:val="20"/>
        </w:rPr>
        <w:t xml:space="preserve"> tarihli ve 26920 sayılı Resmî Gazete’de yayımlanan Türkiye Motorlu Taşıt Bürosunun Çalışma Usul ve Esasları Hakkında Yönetmelik ile kurulan ve anılan Yönetmelik çerçevesinde faaliyette bulunan Türkiye Motorlu Taşıt Bürosunu,</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b) Güvence Hesabı: </w:t>
      </w:r>
      <w:proofErr w:type="gramStart"/>
      <w:r w:rsidRPr="00D3071D">
        <w:rPr>
          <w:rFonts w:ascii="Times New Roman" w:hAnsi="Times New Roman" w:cs="Times New Roman"/>
          <w:sz w:val="20"/>
          <w:szCs w:val="20"/>
        </w:rPr>
        <w:t>3/6/2007</w:t>
      </w:r>
      <w:proofErr w:type="gramEnd"/>
      <w:r w:rsidRPr="00D3071D">
        <w:rPr>
          <w:rFonts w:ascii="Times New Roman" w:hAnsi="Times New Roman" w:cs="Times New Roman"/>
          <w:sz w:val="20"/>
          <w:szCs w:val="20"/>
        </w:rPr>
        <w:t xml:space="preserve"> tarihli ve 5684 sayılı Sigortacılık Kanununun 14 üncü maddesi çerçevesinde Türkiye Sigorta ve Reasürans Şirketleri Birliği nezdinde oluşturulan hesabı,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lastRenderedPageBreak/>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c) Kanun: </w:t>
      </w:r>
      <w:proofErr w:type="gramStart"/>
      <w:r w:rsidRPr="00D3071D">
        <w:rPr>
          <w:rFonts w:ascii="Times New Roman" w:hAnsi="Times New Roman" w:cs="Times New Roman"/>
          <w:sz w:val="20"/>
          <w:szCs w:val="20"/>
        </w:rPr>
        <w:t>13/2/2011</w:t>
      </w:r>
      <w:proofErr w:type="gramEnd"/>
      <w:r w:rsidRPr="00D3071D">
        <w:rPr>
          <w:rFonts w:ascii="Times New Roman" w:hAnsi="Times New Roman" w:cs="Times New Roman"/>
          <w:sz w:val="20"/>
          <w:szCs w:val="20"/>
        </w:rPr>
        <w:t xml:space="preserve"> tarihli ve 6111 sayılı Kanunu,</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ç) Kurum: Sosyal Güvenlik Kurumunu,</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d) Merkez: Sigorta Bilgi Merkezini,</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e) Müsteşarlık: Hazine Müsteşarlığını,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f) Sağlık Uygulama Tebliği (SUT): Kurumca finansmanı sağlanan sağlık hizmetlerine ait ücretler ile tedavi yardımlarının verilmesine ilişkin usul ve esasların belirlendiği Kurumca yayımlanan ilgili yıl Sosyal Güvenlik Kurumu Sağlık Uygulama Tebliğini,</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g) MEDULA: Kurum ile sağlık hizmet sunucuları arasında tedavi bedelleri ödemesine ilişkin oluşturulmuş sistemi,</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ğ) Zorunlu Trafik Sigortası: 2918 sayılı Karayolları Trafik Kanunu kapsamında motorlu kara taşıtlarının işletilmesinden kaynaklanan hukuki sorumluluk için düzenlenen sorumluluk sigortasını,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h) Zorunlu Taşımacılık Sigortası: </w:t>
      </w:r>
      <w:proofErr w:type="gramStart"/>
      <w:r w:rsidRPr="00D3071D">
        <w:rPr>
          <w:rFonts w:ascii="Times New Roman" w:hAnsi="Times New Roman" w:cs="Times New Roman"/>
          <w:sz w:val="20"/>
          <w:szCs w:val="20"/>
        </w:rPr>
        <w:t>10/7/2003</w:t>
      </w:r>
      <w:proofErr w:type="gramEnd"/>
      <w:r w:rsidRPr="00D3071D">
        <w:rPr>
          <w:rFonts w:ascii="Times New Roman" w:hAnsi="Times New Roman" w:cs="Times New Roman"/>
          <w:sz w:val="20"/>
          <w:szCs w:val="20"/>
        </w:rPr>
        <w:t xml:space="preserve"> tarihli ve 4925 sayılı Karayolu Taşıma Kanunu gereği taşımacılık faaliyetinden kaynaklanan hukuki sorumluluk için düzenlenen sorumluluk sigortasını,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ı) Zorunlu Koltuk Ferdi Kaza Sigortası: </w:t>
      </w:r>
      <w:proofErr w:type="gramStart"/>
      <w:r w:rsidRPr="00D3071D">
        <w:rPr>
          <w:rFonts w:ascii="Times New Roman" w:hAnsi="Times New Roman" w:cs="Times New Roman"/>
          <w:sz w:val="20"/>
          <w:szCs w:val="20"/>
        </w:rPr>
        <w:t>22/1/2004</w:t>
      </w:r>
      <w:proofErr w:type="gramEnd"/>
      <w:r w:rsidRPr="00D3071D">
        <w:rPr>
          <w:rFonts w:ascii="Times New Roman" w:hAnsi="Times New Roman" w:cs="Times New Roman"/>
          <w:sz w:val="20"/>
          <w:szCs w:val="20"/>
        </w:rPr>
        <w:t xml:space="preserve"> tarihli ve 2004/6789 sayılı Bakanlar Kurulu Kararı eki Karar kapsamındaki sigortayı,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i) Yeşil Kart Sigortası: Motorlu araçların Zorunlu Mali Sorumluluk Sigortasına dair Avrupa Sözleşmesi uyarınca düzenlenen sigortayı,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proofErr w:type="gramStart"/>
      <w:r w:rsidRPr="00D3071D">
        <w:rPr>
          <w:rFonts w:ascii="Times New Roman" w:hAnsi="Times New Roman" w:cs="Times New Roman"/>
          <w:sz w:val="20"/>
          <w:szCs w:val="20"/>
        </w:rPr>
        <w:t>ifade</w:t>
      </w:r>
      <w:proofErr w:type="gramEnd"/>
      <w:r w:rsidRPr="00D3071D">
        <w:rPr>
          <w:rFonts w:ascii="Times New Roman" w:hAnsi="Times New Roman" w:cs="Times New Roman"/>
          <w:sz w:val="20"/>
          <w:szCs w:val="20"/>
        </w:rPr>
        <w:t xml:space="preserve"> eder.</w:t>
      </w:r>
    </w:p>
    <w:p w:rsidR="00D3071D" w:rsidRPr="00D3071D" w:rsidRDefault="00D3071D" w:rsidP="00D3071D">
      <w:pPr>
        <w:pStyle w:val="2-ortabaslk"/>
        <w:spacing w:before="0" w:beforeAutospacing="0" w:after="0" w:afterAutospacing="0" w:line="276" w:lineRule="auto"/>
        <w:rPr>
          <w:sz w:val="20"/>
          <w:szCs w:val="20"/>
        </w:rPr>
      </w:pPr>
      <w:r w:rsidRPr="00D3071D">
        <w:rPr>
          <w:sz w:val="20"/>
          <w:szCs w:val="20"/>
        </w:rPr>
        <w:t> </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İKİNCİ BÖLÜM</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Genel Esaslar</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Trafik kazalarından kaynaklanan sağlık giderleri</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lastRenderedPageBreak/>
        <w:t>MADDE 4 –</w:t>
      </w:r>
      <w:r w:rsidRPr="00D3071D">
        <w:rPr>
          <w:rFonts w:ascii="Times New Roman" w:hAnsi="Times New Roman" w:cs="Times New Roman"/>
          <w:sz w:val="20"/>
          <w:szCs w:val="20"/>
        </w:rPr>
        <w:t xml:space="preserve"> (1) Trafik kazaları sebebiyle üniversitelere bağlı hastaneler ve diğer bütün resmi ve özel sağlık kurum ve kuruluşlarının sundukları tedavinin gerektirdiği tüm sağlık hizmet bedelleri, kazazedenin sosyal güvencesi (ş.abacı) olup olmadığına bakılmaksızın Kurum tarafından Sağlık Uygulama Tebliğinde (SUT) yer alan hükümler doğrultusunda karşılanır.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(2) Bu Yönetmelik kapsamındaki zorunlu sigortalara ilişkin mevzuat hükümleri </w:t>
      </w:r>
      <w:proofErr w:type="gramStart"/>
      <w:r w:rsidRPr="00D3071D">
        <w:rPr>
          <w:rFonts w:ascii="Times New Roman" w:hAnsi="Times New Roman" w:cs="Times New Roman"/>
          <w:sz w:val="20"/>
          <w:szCs w:val="20"/>
        </w:rPr>
        <w:t>dahilinde</w:t>
      </w:r>
      <w:proofErr w:type="gramEnd"/>
      <w:r w:rsidRPr="00D3071D">
        <w:rPr>
          <w:rFonts w:ascii="Times New Roman" w:hAnsi="Times New Roman" w:cs="Times New Roman"/>
          <w:sz w:val="20"/>
          <w:szCs w:val="20"/>
        </w:rPr>
        <w:t xml:space="preserve"> ilgili sigorta şirketlerine ve Güvence Hesabına düşen ödemeler bakımından Kurum, sigorta şirketleri ve Güvence Hesabı arasındaki paylaşım bu Yönetmelik hükümleri dahilinde gerçekleştirilir.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Paylaşım</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5 –</w:t>
      </w:r>
      <w:r w:rsidRPr="00D3071D">
        <w:rPr>
          <w:rFonts w:ascii="Times New Roman" w:hAnsi="Times New Roman" w:cs="Times New Roman"/>
          <w:sz w:val="20"/>
          <w:szCs w:val="20"/>
        </w:rPr>
        <w:t xml:space="preserve"> (1) Kurum tarafından karşılanan sağlık hizmet bedelleri için bu Yönetmelik ile belirlenen usul ve esaslara göre ilgili sigorta şirketleri ve Güvence Hesabı tarafından Kuruma aktarım yapılır.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(2) Zorunlu Trafik Sigortası poliçesi düzenleme yetkisi bulunan sigorta şirketleri, kısa süreliler </w:t>
      </w:r>
      <w:proofErr w:type="gramStart"/>
      <w:r w:rsidRPr="00D3071D">
        <w:rPr>
          <w:rFonts w:ascii="Times New Roman" w:hAnsi="Times New Roman" w:cs="Times New Roman"/>
          <w:sz w:val="20"/>
          <w:szCs w:val="20"/>
        </w:rPr>
        <w:t>dahil</w:t>
      </w:r>
      <w:proofErr w:type="gramEnd"/>
      <w:r w:rsidRPr="00D3071D">
        <w:rPr>
          <w:rFonts w:ascii="Times New Roman" w:hAnsi="Times New Roman" w:cs="Times New Roman"/>
          <w:sz w:val="20"/>
          <w:szCs w:val="20"/>
        </w:rPr>
        <w:t>, yazdıkları sigorta priminin bu Yönetmelik ekinde yer alan hesaplama yöntemine göre belirlenen kısmını, primin tahakkuk ettiği ilgili ayı izleyen 3 üncü ay sonuna kadar defaten veya 3 eşit taksitte Kuruma aktarırlar. Bu şirketler Kanunun yayımı tarihinden önce meydana gelen trafik kazaları bakımından bu Yönetmelik ekinde Zorunlu Trafik Sigortası için yer alan hesaplama yöntemine göre belirlenen tutarı Müsteşarlıkça belirlenen vadelerde Kanunun yayımı tarihinden itibaren 3 yıl boyunca ayrıca Kuruma aktarırlar.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(3) Zorunlu Taşımacılık Sigortası ile Zorunlu Koltuk Ferdi Kaza Sigortası poliçesi düzenleme yetkisi bulunan sigorta şirketleri yazdıkları sigorta priminin bu Yönetmelik ekinde yer alan hesaplama yöntemine göre belirlenen kısmını, primin tahakkuk ettiği ilgili ayı izleyen 3 üncü ay sonuna kadar defaten veya 3 eşit taksitte Kuruma aktarırlar. Bu şirketler Kanunun yayımı tarihinden önce meydana gelen trafik kazaları bakımından bu Yönetmelik ekinde Zorunlu Trafik Sigortası için yer alan hesaplama yöntemine göre belirlenen tutarı Müsteşarlıkça belirlenen vadelerde ayrıca Kuruma aktarırlar.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(4) Güvence Hesabı, Güvence Hesabına ilişkin mevzuatta belirlenen usul ve esaslar </w:t>
      </w:r>
      <w:proofErr w:type="gramStart"/>
      <w:r w:rsidRPr="00D3071D">
        <w:rPr>
          <w:rFonts w:ascii="Times New Roman" w:hAnsi="Times New Roman" w:cs="Times New Roman"/>
          <w:sz w:val="20"/>
          <w:szCs w:val="20"/>
        </w:rPr>
        <w:t>dahilinde</w:t>
      </w:r>
      <w:proofErr w:type="gramEnd"/>
      <w:r w:rsidRPr="00D3071D">
        <w:rPr>
          <w:rFonts w:ascii="Times New Roman" w:hAnsi="Times New Roman" w:cs="Times New Roman"/>
          <w:sz w:val="20"/>
          <w:szCs w:val="20"/>
        </w:rPr>
        <w:t xml:space="preserve">, Zorunlu Trafik Sigortası, Zorunlu Taşımacılık Sigortası ve Zorunlu Koltuk Ferdi Kaza Sigortası için ilgili sigorta şirketlerinden tahsil ettiği tüm katılım paylarının yüzde </w:t>
      </w:r>
      <w:proofErr w:type="spellStart"/>
      <w:r w:rsidRPr="00D3071D">
        <w:rPr>
          <w:rFonts w:ascii="Times New Roman" w:hAnsi="Times New Roman" w:cs="Times New Roman"/>
          <w:sz w:val="20"/>
          <w:szCs w:val="20"/>
        </w:rPr>
        <w:t>onbeşini</w:t>
      </w:r>
      <w:proofErr w:type="spellEnd"/>
      <w:r w:rsidRPr="00D3071D">
        <w:rPr>
          <w:rFonts w:ascii="Times New Roman" w:hAnsi="Times New Roman" w:cs="Times New Roman"/>
          <w:sz w:val="20"/>
          <w:szCs w:val="20"/>
        </w:rPr>
        <w:t xml:space="preserve"> tahsilatı izleyen ayın 10 uncu gününe kadar Kuruma aktarır. Güvence Hesabı Kanunun yayımı tarihinden önce meydana gelen trafik kazaları bakımından bu fıkranın ilk cümlesi çerçevesinde ilgili sigorta şirketlerinden tahsil edip Kuruma aktaracağı katılım paylarının yüzde yirmisini bu fıkranın ilk cümlesiyle belirlenen vadede ayrıca Kuruma aktarır.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(5) Bu Yönetmelik kapsamındaki sigorta poliçelerinin ilgili mevzuat çerçevesinde feshedilmesi halinde bu poliçelere ilişkin olarak iade talepleri izleyen dönem aktarımından mahsup edilir.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lastRenderedPageBreak/>
        <w:t xml:space="preserve">(6) Müsteşarlık bu Yönetmelik ekinde belirlenen aktarım konusu tutarı, Kanun ile belirlenen sınırlar </w:t>
      </w:r>
      <w:proofErr w:type="gramStart"/>
      <w:r w:rsidRPr="00D3071D">
        <w:rPr>
          <w:rFonts w:ascii="Times New Roman" w:hAnsi="Times New Roman" w:cs="Times New Roman"/>
          <w:sz w:val="20"/>
          <w:szCs w:val="20"/>
        </w:rPr>
        <w:t>dahilinde</w:t>
      </w:r>
      <w:proofErr w:type="gramEnd"/>
      <w:r w:rsidRPr="00D3071D">
        <w:rPr>
          <w:rFonts w:ascii="Times New Roman" w:hAnsi="Times New Roman" w:cs="Times New Roman"/>
          <w:sz w:val="20"/>
          <w:szCs w:val="20"/>
        </w:rPr>
        <w:t xml:space="preserve">, %50 sine kadar artırabilir veya azaltabilir. Söz konusu belirleme ilgili sigorta şirketleri için sigortacılık ilkelerine göre ayrı </w:t>
      </w:r>
      <w:proofErr w:type="spellStart"/>
      <w:r w:rsidRPr="00D3071D">
        <w:rPr>
          <w:rFonts w:ascii="Times New Roman" w:hAnsi="Times New Roman" w:cs="Times New Roman"/>
          <w:sz w:val="20"/>
          <w:szCs w:val="20"/>
        </w:rPr>
        <w:t>ayrı</w:t>
      </w:r>
      <w:proofErr w:type="spellEnd"/>
      <w:r w:rsidRPr="00D3071D">
        <w:rPr>
          <w:rFonts w:ascii="Times New Roman" w:hAnsi="Times New Roman" w:cs="Times New Roman"/>
          <w:sz w:val="20"/>
          <w:szCs w:val="20"/>
        </w:rPr>
        <w:t xml:space="preserve"> yapılabilir.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(7) Bu Yönetmelik uyarınca tespit edilen Kurum alacağının süresinde ödenmemesi halinde </w:t>
      </w:r>
      <w:proofErr w:type="gramStart"/>
      <w:r w:rsidRPr="00D3071D">
        <w:rPr>
          <w:rFonts w:ascii="Times New Roman" w:hAnsi="Times New Roman" w:cs="Times New Roman"/>
          <w:sz w:val="20"/>
          <w:szCs w:val="20"/>
        </w:rPr>
        <w:t>31/5/2006</w:t>
      </w:r>
      <w:proofErr w:type="gramEnd"/>
      <w:r w:rsidRPr="00D3071D">
        <w:rPr>
          <w:rFonts w:ascii="Times New Roman" w:hAnsi="Times New Roman" w:cs="Times New Roman"/>
          <w:sz w:val="20"/>
          <w:szCs w:val="20"/>
        </w:rPr>
        <w:t xml:space="preserve"> tarihli ve 5510 sayılı Sosyal Sigortalar ve Genel Sağlık Sigortasının 89 uncu maddesinin ikinci fıkrası uygulanır.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Yeşil kart sigortası kapsamındaki kazalar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6 –</w:t>
      </w:r>
      <w:r w:rsidRPr="00D3071D">
        <w:rPr>
          <w:rFonts w:ascii="Times New Roman" w:hAnsi="Times New Roman" w:cs="Times New Roman"/>
          <w:sz w:val="20"/>
          <w:szCs w:val="20"/>
        </w:rPr>
        <w:t xml:space="preserve"> (1) Yabancı plakalı araçların karıştığı ülkemizde meydana gelen trafik kazalarından kaynaklanan sağlık hizmet bedelinden Yeşil Kart Sigortası çerçevesinde yabancı plakalı araç işleteninin sorumluluğuna isabet eden kısım Kurum tarafından Bürodan talep edilir. Büro tarafından ilgili mevzuat çerçevesinde tahsil edilen tutar Kuruma 3 iş günü içinde aktarılır.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(2) Yurt dışında meydana gelen trafik kazalarında Yeşil Kart Sigortası çerçevesinde Büro tarafından ödenmesi gereken sağlık hizmet bedelleri hakkında genel hükümler çerçevesinde Büro tarafından ödeme yapılır. Bu bedeller ilgili mevzuat uyarınca Kurumdan tahsil edilmiş ise birinci fıkra çerçevesinde işlem tesis edilir.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Diğer ilgili isteğe bağlı sigortalar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7 –</w:t>
      </w:r>
      <w:r w:rsidRPr="00D3071D">
        <w:rPr>
          <w:rFonts w:ascii="Times New Roman" w:hAnsi="Times New Roman" w:cs="Times New Roman"/>
          <w:sz w:val="20"/>
          <w:szCs w:val="20"/>
        </w:rPr>
        <w:t xml:space="preserve"> (1) Trafik kazaları sebebiyle sağlık hizmeti talebine konu olabilecek isteğe bağlı sigortaları düzenleyen sigorta şirketlerinin anılan poliçeler çerçevesindeki sorumlulukları saklıdır.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Aktarımın sonucu</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8 –</w:t>
      </w:r>
      <w:r w:rsidRPr="00D3071D">
        <w:rPr>
          <w:rFonts w:ascii="Times New Roman" w:hAnsi="Times New Roman" w:cs="Times New Roman"/>
          <w:sz w:val="20"/>
          <w:szCs w:val="20"/>
        </w:rPr>
        <w:t xml:space="preserve"> (1) Bu Yönetmelik hükümleri kapsamında Kuruma yapılan aktarım ile sigorta şirketlerinin ve Güvence Hesabının Zorunlu Trafik Sigortası, Zorunlu Taşımacılık Sigortası ve Zorunlu Koltuk Ferdi Kaza Sigortası poliçeleri kapsamında sigortalılara ve hak sahiplerine karşı sağlık/tedavi giderleri teminatı bakımından sorumlulukları sona erer.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(2) Bu Yönetmelik çerçevesindeki sağlık hizmet bedelleri için Zorunlu Trafik Sigortası, Zorunlu Taşımacılık Sigortası ve Zorunlu Koltuk Ferdi Kaza Sigortası çerçevesinde sigortalı olan kişilerden ayrıca talepte bulunulamaz.</w:t>
      </w:r>
    </w:p>
    <w:p w:rsidR="00D3071D" w:rsidRPr="00D3071D" w:rsidRDefault="00D3071D" w:rsidP="00D3071D">
      <w:pPr>
        <w:pStyle w:val="2-ortabaslk"/>
        <w:spacing w:before="0" w:beforeAutospacing="0" w:after="0" w:afterAutospacing="0" w:line="276" w:lineRule="auto"/>
        <w:rPr>
          <w:sz w:val="20"/>
          <w:szCs w:val="20"/>
        </w:rPr>
      </w:pPr>
      <w:r w:rsidRPr="00D3071D">
        <w:rPr>
          <w:sz w:val="20"/>
          <w:szCs w:val="20"/>
        </w:rPr>
        <w:t> </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ÜÇÜNCÜ BÖLÜM</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 xml:space="preserve">Veri Transferi, Veri Girişi ve </w:t>
      </w:r>
      <w:proofErr w:type="spellStart"/>
      <w:r w:rsidRPr="00D3071D">
        <w:rPr>
          <w:b/>
          <w:bCs/>
          <w:sz w:val="20"/>
          <w:szCs w:val="20"/>
        </w:rPr>
        <w:t>Rücu</w:t>
      </w:r>
      <w:proofErr w:type="spellEnd"/>
      <w:r w:rsidRPr="00D3071D">
        <w:rPr>
          <w:b/>
          <w:bCs/>
          <w:sz w:val="20"/>
          <w:szCs w:val="20"/>
        </w:rPr>
        <w:t xml:space="preserve"> Hakkı</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Veri transferi</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lastRenderedPageBreak/>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9 –</w:t>
      </w:r>
      <w:r w:rsidRPr="00D3071D">
        <w:rPr>
          <w:rFonts w:ascii="Times New Roman" w:hAnsi="Times New Roman" w:cs="Times New Roman"/>
          <w:sz w:val="20"/>
          <w:szCs w:val="20"/>
        </w:rPr>
        <w:t xml:space="preserve"> (1) Sağlık Bakanlığı Döner Sermaye İşletmesi Müdürlüğü tarafından tedavi bedellerinin tahsili için kurulan sistem Kanunun yayımı tarihinden itibaren 6 ay içinde Kurum tarafından devralınır. Sistemin işleyişi ile ilgili düzenlemeler bu Yönetmelik hükümleri çerçevesinde Kurum tarafından belirlenir.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(2) Sağlık Bakanlığınca trafik kazaları için hazırlanacak ambulans formları değişmez sıra numaralı olarak düzenlenir. Sağlık Bakanlığınca görevlendirilecek personelce, ilgili mevzuat çerçevesinde, bedeni hasarlı trafik kazaları için düzenlenen trafik kaza tespit tutanağı, ambulans formu, motorlu araç plaka, kaza tarihi bilgileri ve Müsteşarlıkça belirlenen diğer bilgilerle birlikte elektronik ortamda Merkeze iletilir.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(4) Kurum ile sözleşmeli/protokollü sağlık hizmet sunucuları tarafından verilen sağlık hizmetlerine ilişkin olarak MEDULA sistemine kaydedilmiş olan sağlık hizmet bedeli ve Müsteşarlıkça uygun görülen trafik kazasına ilişkin diğer bilgiler Kurum tarafından Merkeze elektronik ortamda iletilir. MEDULA sisteminde trafik kazası nedeniyle yapılan veya devam eden tüm sağlık hizmet bedelleri, ilgili trafik kazası ile bağını devam ettirecek şekilde güncel olarak kayıt altına alınır ve bu veriler Merkeze elektronik ortamda iletilir.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proofErr w:type="gramStart"/>
      <w:r w:rsidRPr="00D3071D">
        <w:rPr>
          <w:rFonts w:ascii="Times New Roman" w:hAnsi="Times New Roman" w:cs="Times New Roman"/>
          <w:sz w:val="20"/>
          <w:szCs w:val="20"/>
        </w:rPr>
        <w:t xml:space="preserve">(5) Kurum ile sözleşmesi olmayan sağlık hizmet sunucuları, trafik kazası sebebiyle verdikleri sağlık hizmet bedellerine ilişkin olarak; sağlık hizmet bedelleri ve kazaya ilişkin mağdur, araç işleteni, motorlu araç plaka, kaza tarihi, kaza yeri, ilgili mevzuat çerçevesinde bedeni hasarlı trafik kazaları için düzenlenen trafik kaza tespit tutanağı, ambulans formları ile Müsteşarlıkça belirlenen diğer bilgileri elektronik ortamda Merkeze iletilirler. </w:t>
      </w:r>
      <w:proofErr w:type="gramEnd"/>
      <w:r w:rsidRPr="00D3071D">
        <w:rPr>
          <w:rFonts w:ascii="Times New Roman" w:hAnsi="Times New Roman" w:cs="Times New Roman"/>
          <w:sz w:val="20"/>
          <w:szCs w:val="20"/>
        </w:rPr>
        <w:t xml:space="preserve">Bu hizmet sunucuları Kurumdan trafik kazası nedeniyle yapacakları </w:t>
      </w:r>
      <w:proofErr w:type="gramStart"/>
      <w:r w:rsidRPr="00D3071D">
        <w:rPr>
          <w:rFonts w:ascii="Times New Roman" w:hAnsi="Times New Roman" w:cs="Times New Roman"/>
          <w:sz w:val="20"/>
          <w:szCs w:val="20"/>
        </w:rPr>
        <w:t>tahsilat</w:t>
      </w:r>
      <w:proofErr w:type="gramEnd"/>
      <w:r w:rsidRPr="00D3071D">
        <w:rPr>
          <w:rFonts w:ascii="Times New Roman" w:hAnsi="Times New Roman" w:cs="Times New Roman"/>
          <w:sz w:val="20"/>
          <w:szCs w:val="20"/>
        </w:rPr>
        <w:t xml:space="preserve"> başvurularında bu madde çerçevesinde Merkez veri tabanına bilgi aktarımı yaptıkları bilgisini Kuruma iletmek zorundadırlar.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Veri girişi</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10 –</w:t>
      </w:r>
      <w:r w:rsidRPr="00D3071D">
        <w:rPr>
          <w:rFonts w:ascii="Times New Roman" w:hAnsi="Times New Roman" w:cs="Times New Roman"/>
          <w:sz w:val="20"/>
          <w:szCs w:val="20"/>
        </w:rPr>
        <w:t xml:space="preserve"> (1) Bu Yönetmelik çerçevesinde sağlanan sağlık hizmetine yönelik olarak 9 uncu madde kapsamında Merkez nezdinde toplanan bilgiler Merkez tarafından belirlenecek teknik esaslar </w:t>
      </w:r>
      <w:proofErr w:type="gramStart"/>
      <w:r w:rsidRPr="00D3071D">
        <w:rPr>
          <w:rFonts w:ascii="Times New Roman" w:hAnsi="Times New Roman" w:cs="Times New Roman"/>
          <w:sz w:val="20"/>
          <w:szCs w:val="20"/>
        </w:rPr>
        <w:t>dahilinde</w:t>
      </w:r>
      <w:proofErr w:type="gramEnd"/>
      <w:r w:rsidRPr="00D3071D">
        <w:rPr>
          <w:rFonts w:ascii="Times New Roman" w:hAnsi="Times New Roman" w:cs="Times New Roman"/>
          <w:sz w:val="20"/>
          <w:szCs w:val="20"/>
        </w:rPr>
        <w:t xml:space="preserve"> Güvence Hesabının ve ilgili sigorta şirketinin erişimine sunulur.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(2) Bu Yönetmelik kapsamında sağlanan sağlık hizmet bedellerine ilişkin sorumluluk tespiti Müsteşarlıkça belirlenecek usul ve esaslar </w:t>
      </w:r>
      <w:proofErr w:type="gramStart"/>
      <w:r w:rsidRPr="00D3071D">
        <w:rPr>
          <w:rFonts w:ascii="Times New Roman" w:hAnsi="Times New Roman" w:cs="Times New Roman"/>
          <w:sz w:val="20"/>
          <w:szCs w:val="20"/>
        </w:rPr>
        <w:t>dahilinde</w:t>
      </w:r>
      <w:proofErr w:type="gramEnd"/>
      <w:r w:rsidRPr="00D3071D">
        <w:rPr>
          <w:rFonts w:ascii="Times New Roman" w:hAnsi="Times New Roman" w:cs="Times New Roman"/>
          <w:sz w:val="20"/>
          <w:szCs w:val="20"/>
        </w:rPr>
        <w:t xml:space="preserve"> Merkez nezdinde ilgili sigorta şirketlerince ve Güvence Hesabınca gerçekleştirilir.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xml:space="preserve">(3) Sağlık hizmet bedelleri ve sorumluluğa ilişkin veriler fiyatlamaya ve Müsteşarlıkça bu Yönetmelik kapsamında Kuruma aktarılacak tutarın tespitine esas olmak üzere Merkez tarafından belirlenecek teknik esaslar </w:t>
      </w:r>
      <w:proofErr w:type="gramStart"/>
      <w:r w:rsidRPr="00D3071D">
        <w:rPr>
          <w:rFonts w:ascii="Times New Roman" w:hAnsi="Times New Roman" w:cs="Times New Roman"/>
          <w:sz w:val="20"/>
          <w:szCs w:val="20"/>
        </w:rPr>
        <w:t>dahilinde</w:t>
      </w:r>
      <w:proofErr w:type="gramEnd"/>
      <w:r w:rsidRPr="00D3071D">
        <w:rPr>
          <w:rFonts w:ascii="Times New Roman" w:hAnsi="Times New Roman" w:cs="Times New Roman"/>
          <w:sz w:val="20"/>
          <w:szCs w:val="20"/>
        </w:rPr>
        <w:t xml:space="preserve"> ilgili sigorta poliçeleriyle eşleştirilerek sağlık kurumu temelinde ayrımlı olarak Merkez veri tabanına kaydedilir.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(4) Bu yönetmelik uyarınca Merkez ve Kurum arasında karşılıklı veri iletişimine ilişkin esaslar anılan kurumlarca düzenlenecek protokolle belirlenir.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lastRenderedPageBreak/>
        <w:t> </w:t>
      </w:r>
    </w:p>
    <w:p w:rsidR="00D3071D" w:rsidRPr="00D3071D" w:rsidRDefault="00D3071D" w:rsidP="00D3071D">
      <w:pPr>
        <w:jc w:val="both"/>
        <w:rPr>
          <w:rFonts w:ascii="Times New Roman" w:hAnsi="Times New Roman" w:cs="Times New Roman"/>
          <w:sz w:val="20"/>
          <w:szCs w:val="20"/>
        </w:rPr>
      </w:pPr>
      <w:proofErr w:type="spellStart"/>
      <w:r w:rsidRPr="00D3071D">
        <w:rPr>
          <w:rFonts w:ascii="Times New Roman" w:hAnsi="Times New Roman" w:cs="Times New Roman"/>
          <w:b/>
          <w:sz w:val="20"/>
          <w:szCs w:val="20"/>
        </w:rPr>
        <w:t>Rücu</w:t>
      </w:r>
      <w:proofErr w:type="spellEnd"/>
      <w:r w:rsidRPr="00D3071D">
        <w:rPr>
          <w:rFonts w:ascii="Times New Roman" w:hAnsi="Times New Roman" w:cs="Times New Roman"/>
          <w:b/>
          <w:sz w:val="20"/>
          <w:szCs w:val="20"/>
        </w:rPr>
        <w:t xml:space="preserve"> hakkı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 xml:space="preserve">MADDE 11 – </w:t>
      </w:r>
      <w:r w:rsidRPr="00D3071D">
        <w:rPr>
          <w:rFonts w:ascii="Times New Roman" w:hAnsi="Times New Roman" w:cs="Times New Roman"/>
          <w:sz w:val="20"/>
          <w:szCs w:val="20"/>
        </w:rPr>
        <w:t xml:space="preserve">(1) Tespit edilen sorumluluk çerçevesinde sigorta şirketlerinin ve Güvence Hesabının ilgili mevzuat çerçevesinde zarar sorumlusuna karşı </w:t>
      </w:r>
      <w:proofErr w:type="spellStart"/>
      <w:r w:rsidRPr="00D3071D">
        <w:rPr>
          <w:rFonts w:ascii="Times New Roman" w:hAnsi="Times New Roman" w:cs="Times New Roman"/>
          <w:sz w:val="20"/>
          <w:szCs w:val="20"/>
        </w:rPr>
        <w:t>rücu</w:t>
      </w:r>
      <w:proofErr w:type="spellEnd"/>
      <w:r w:rsidRPr="00D3071D">
        <w:rPr>
          <w:rFonts w:ascii="Times New Roman" w:hAnsi="Times New Roman" w:cs="Times New Roman"/>
          <w:sz w:val="20"/>
          <w:szCs w:val="20"/>
        </w:rPr>
        <w:t xml:space="preserve"> hakları saklıdır. </w:t>
      </w:r>
      <w:proofErr w:type="spellStart"/>
      <w:r w:rsidRPr="00D3071D">
        <w:rPr>
          <w:rFonts w:ascii="Times New Roman" w:hAnsi="Times New Roman" w:cs="Times New Roman"/>
          <w:sz w:val="20"/>
          <w:szCs w:val="20"/>
        </w:rPr>
        <w:t>Rücu</w:t>
      </w:r>
      <w:proofErr w:type="spellEnd"/>
      <w:r w:rsidRPr="00D3071D">
        <w:rPr>
          <w:rFonts w:ascii="Times New Roman" w:hAnsi="Times New Roman" w:cs="Times New Roman"/>
          <w:sz w:val="20"/>
          <w:szCs w:val="20"/>
        </w:rPr>
        <w:t xml:space="preserve"> hakkı kapsamında yapılan </w:t>
      </w:r>
      <w:proofErr w:type="gramStart"/>
      <w:r w:rsidRPr="00D3071D">
        <w:rPr>
          <w:rFonts w:ascii="Times New Roman" w:hAnsi="Times New Roman" w:cs="Times New Roman"/>
          <w:sz w:val="20"/>
          <w:szCs w:val="20"/>
        </w:rPr>
        <w:t>tahsilatlar</w:t>
      </w:r>
      <w:proofErr w:type="gramEnd"/>
      <w:r w:rsidRPr="00D3071D">
        <w:rPr>
          <w:rFonts w:ascii="Times New Roman" w:hAnsi="Times New Roman" w:cs="Times New Roman"/>
          <w:sz w:val="20"/>
          <w:szCs w:val="20"/>
        </w:rPr>
        <w:t xml:space="preserve"> sigorta şirketlerince ve Güvence Hesabınca ilgili poliçeyle eşleştirilerek Merkez veri tabanına kaydedilir.</w:t>
      </w:r>
    </w:p>
    <w:p w:rsidR="00D3071D" w:rsidRPr="00D3071D" w:rsidRDefault="00D3071D" w:rsidP="00D3071D">
      <w:pPr>
        <w:pStyle w:val="2-ortabaslk"/>
        <w:spacing w:before="0" w:beforeAutospacing="0" w:after="0" w:afterAutospacing="0" w:line="276" w:lineRule="auto"/>
        <w:rPr>
          <w:sz w:val="20"/>
          <w:szCs w:val="20"/>
        </w:rPr>
      </w:pPr>
      <w:r w:rsidRPr="00D3071D">
        <w:rPr>
          <w:sz w:val="20"/>
          <w:szCs w:val="20"/>
        </w:rPr>
        <w:t> </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DÖRDÜNCÜ BÖLÜM</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Geçici ve Son Hükümler</w:t>
      </w:r>
    </w:p>
    <w:p w:rsidR="00D3071D" w:rsidRPr="00D3071D" w:rsidRDefault="00D3071D" w:rsidP="00D3071D">
      <w:pPr>
        <w:pStyle w:val="2-ortabaslk"/>
        <w:spacing w:before="0" w:beforeAutospacing="0" w:after="0" w:afterAutospacing="0" w:line="276" w:lineRule="auto"/>
        <w:jc w:val="center"/>
        <w:rPr>
          <w:sz w:val="20"/>
          <w:szCs w:val="20"/>
        </w:rPr>
      </w:pPr>
      <w:r w:rsidRPr="00D3071D">
        <w:rPr>
          <w:b/>
          <w:bCs/>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Kanunun yayımı tarihinden önceki trafik kazaları</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GEÇİCİ MADDE 1 –</w:t>
      </w:r>
      <w:r w:rsidRPr="00D3071D">
        <w:rPr>
          <w:rFonts w:ascii="Times New Roman" w:hAnsi="Times New Roman" w:cs="Times New Roman"/>
          <w:sz w:val="20"/>
          <w:szCs w:val="20"/>
        </w:rPr>
        <w:t xml:space="preserve"> (1) Kanunun yayımı tarihinden önce meydana gelen trafik kazalarından kaynaklanan ve anılan tarih itibariyle ödenmemiş tüm tedavi gideri bedelleri Kanunun Geçici 1 inci maddesi kapsamında Kurumca ödenir. Bu tarihten önce meydana gelen trafik kazaları nedeniyle ilgili sigorta şirketlerinden ve Güvence Hesabından tahsil edilen tutarlar bakımından ilgili sigorta şirketlerine ve Güvence Hesabına herhangi bir iade yapılmaz. Bu tutarlar Kuruma bu Yönetmelik uyarınca aktarılan tutarlardan mahsup edilemez.</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Kanunun yayımı tarihinden yönetmeliğin yayımı tarihine kadarki döneme ilişkin aktarım</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proofErr w:type="gramStart"/>
      <w:r w:rsidRPr="00D3071D">
        <w:rPr>
          <w:rFonts w:ascii="Times New Roman" w:hAnsi="Times New Roman" w:cs="Times New Roman"/>
          <w:b/>
          <w:sz w:val="20"/>
          <w:szCs w:val="20"/>
        </w:rPr>
        <w:t xml:space="preserve">GEÇİCİ MADDE 2 – </w:t>
      </w:r>
      <w:r w:rsidRPr="00D3071D">
        <w:rPr>
          <w:rFonts w:ascii="Times New Roman" w:hAnsi="Times New Roman" w:cs="Times New Roman"/>
          <w:sz w:val="20"/>
          <w:szCs w:val="20"/>
        </w:rPr>
        <w:t>(1) İlgili sigorta şirketleri Kanunun yayımı tarihten sonra meydana gelen trafik kazaları bakımından, Kanunun yayımlandığı tarihten bu Yönetmeliğin yayımı tarihine kadarki dönemde düzenlenen Zorunlu Trafik Sigortası, Zorunlu Taşımacılık Sigortası ve Zorunlu Koltuk Ferdi Kaza Sigortası poliçelerinden tahakkuk eden sigorta primlerinin bu Yönetmelik ekinde yer alan hesaplama yöntemine göre belirlenen kısmını Müsteşarlıkça belirlenen vadelerde Kuruma aktarırlar.</w:t>
      </w:r>
      <w:proofErr w:type="gramEnd"/>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proofErr w:type="gramStart"/>
      <w:r w:rsidRPr="00D3071D">
        <w:rPr>
          <w:rFonts w:ascii="Times New Roman" w:hAnsi="Times New Roman" w:cs="Times New Roman"/>
          <w:sz w:val="20"/>
          <w:szCs w:val="20"/>
        </w:rPr>
        <w:t>(2) İlgili sigorta şirketleri Kanunun yayımlandığı tarihten önce meydana gelen trafik kazaları bakımından, Kanunun yayımlandığı tarihten bu Yönetmeliğin yayımı tarihine kadarki dönemde düzenlenen Zorunlu Taşımacılık Sigortası ve Zorunlu Koltuk Ferdi Kaza Sigortası poliçelerinden tahakkuk eden sigorta primlerinin bu Yönetmelik ekinde yer alan hesaplama yöntemine göre belirlenen kısmını Müsteşarlıkça belirlenen vadelerde Kuruma aktarırlar.</w:t>
      </w:r>
      <w:proofErr w:type="gramEnd"/>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proofErr w:type="gramStart"/>
      <w:r w:rsidRPr="00D3071D">
        <w:rPr>
          <w:rFonts w:ascii="Times New Roman" w:hAnsi="Times New Roman" w:cs="Times New Roman"/>
          <w:sz w:val="20"/>
          <w:szCs w:val="20"/>
        </w:rPr>
        <w:t>(3) Güvence Hesabı Kanunun yayımlandığı tarihten sonra meydana gelen trafik kazaları bakımından, Kanunun yayımlandığı tarihten bu Yönetmeliğin yayımı tarihine kadarki dönemde düzenlenen Zorunlu Trafik Sigortası, Zorunlu Taşımacılık Sigortası ve Zorunlu Koltuk Ferdi Kaza Sigortası poliçelerinden tahakkuk eden sigorta primleri için tahsil ettiği katılım paylarının yüzde on beşini bu Yönetmeliğin yayımından itibaren bir ay içinde Kuruma aktarır.</w:t>
      </w:r>
      <w:proofErr w:type="gramEnd"/>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lastRenderedPageBreak/>
        <w:t>(4) Güvence Hesabı Kanunun yayımlandığı tarihten önce meydana gelen trafik kazaları bakımından, bu maddenin üçüncü fıkrası uyarınca Kuruma aktaracağı tutarın yüzde yirmisini aynı fıkrada belirlenen vadelerde ayrıca Kuruma aktarır.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Yürürlük</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 xml:space="preserve">MADDE 12 – </w:t>
      </w:r>
      <w:r w:rsidRPr="00D3071D">
        <w:rPr>
          <w:rFonts w:ascii="Times New Roman" w:hAnsi="Times New Roman" w:cs="Times New Roman"/>
          <w:sz w:val="20"/>
          <w:szCs w:val="20"/>
        </w:rPr>
        <w:t>(1) Bu Yönetmelik yayımı tarihinde yürürlüğe girer.</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Yürütme</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sz w:val="20"/>
          <w:szCs w:val="20"/>
        </w:rPr>
        <w:t> </w:t>
      </w:r>
    </w:p>
    <w:p w:rsidR="00D3071D" w:rsidRPr="00D3071D" w:rsidRDefault="00D3071D" w:rsidP="00D3071D">
      <w:pPr>
        <w:jc w:val="both"/>
        <w:rPr>
          <w:rFonts w:ascii="Times New Roman" w:hAnsi="Times New Roman" w:cs="Times New Roman"/>
          <w:sz w:val="20"/>
          <w:szCs w:val="20"/>
        </w:rPr>
      </w:pPr>
      <w:r w:rsidRPr="00D3071D">
        <w:rPr>
          <w:rFonts w:ascii="Times New Roman" w:hAnsi="Times New Roman" w:cs="Times New Roman"/>
          <w:b/>
          <w:sz w:val="20"/>
          <w:szCs w:val="20"/>
        </w:rPr>
        <w:t>MADDE 13 –</w:t>
      </w:r>
      <w:r w:rsidRPr="00D3071D">
        <w:rPr>
          <w:rFonts w:ascii="Times New Roman" w:hAnsi="Times New Roman" w:cs="Times New Roman"/>
          <w:sz w:val="20"/>
          <w:szCs w:val="20"/>
        </w:rPr>
        <w:t xml:space="preserve"> (1) Bu Yönetmelik hükümlerini Hazine Müsteşarlığının bağlı olduğu Bakan yürütür.</w:t>
      </w:r>
    </w:p>
    <w:p w:rsidR="00D3071D" w:rsidRPr="00D3071D" w:rsidRDefault="00D3071D" w:rsidP="00D3071D">
      <w:pPr>
        <w:pStyle w:val="3-normalyaz"/>
        <w:spacing w:before="0" w:beforeAutospacing="0" w:after="0" w:afterAutospacing="0" w:line="276" w:lineRule="auto"/>
        <w:jc w:val="center"/>
        <w:rPr>
          <w:sz w:val="20"/>
          <w:szCs w:val="20"/>
        </w:rPr>
      </w:pPr>
      <w:r w:rsidRPr="00D3071D">
        <w:rPr>
          <w:sz w:val="20"/>
          <w:szCs w:val="20"/>
        </w:rPr>
        <w:t> </w:t>
      </w:r>
    </w:p>
    <w:p w:rsidR="00D3071D" w:rsidRPr="00D3071D" w:rsidRDefault="00D3071D" w:rsidP="00D3071D">
      <w:pPr>
        <w:pStyle w:val="3-normalyaz"/>
        <w:spacing w:before="0" w:beforeAutospacing="0" w:after="0" w:afterAutospacing="0" w:line="276" w:lineRule="auto"/>
        <w:jc w:val="center"/>
        <w:rPr>
          <w:sz w:val="20"/>
          <w:szCs w:val="20"/>
        </w:rPr>
      </w:pPr>
      <w:r w:rsidRPr="00D3071D">
        <w:rPr>
          <w:sz w:val="20"/>
          <w:szCs w:val="20"/>
        </w:rPr>
        <w:t> </w:t>
      </w:r>
    </w:p>
    <w:p w:rsidR="00D3071D" w:rsidRPr="00D3071D" w:rsidRDefault="00D3071D" w:rsidP="00D3071D">
      <w:pPr>
        <w:pStyle w:val="3-normalyaz"/>
        <w:spacing w:before="0" w:beforeAutospacing="0" w:after="0" w:afterAutospacing="0" w:line="276" w:lineRule="auto"/>
        <w:rPr>
          <w:sz w:val="20"/>
          <w:szCs w:val="20"/>
        </w:rPr>
      </w:pPr>
      <w:hyperlink r:id="rId6" w:history="1">
        <w:r w:rsidRPr="00D3071D">
          <w:rPr>
            <w:rStyle w:val="Kpr"/>
            <w:sz w:val="20"/>
            <w:szCs w:val="20"/>
            <w:u w:val="single"/>
          </w:rPr>
          <w:t>Ekleri için tıklayınız</w:t>
        </w:r>
      </w:hyperlink>
    </w:p>
    <w:p w:rsidR="00F8013E" w:rsidRPr="00D3071D" w:rsidRDefault="00F8013E" w:rsidP="00F8013E">
      <w:pPr>
        <w:spacing w:after="0"/>
        <w:rPr>
          <w:rFonts w:ascii="Times New Roman" w:eastAsia="Times New Roman" w:hAnsi="Times New Roman" w:cs="Times New Roman"/>
          <w:b/>
          <w:sz w:val="20"/>
          <w:szCs w:val="20"/>
          <w:lang w:eastAsia="tr-TR"/>
        </w:rPr>
      </w:pPr>
    </w:p>
    <w:sectPr w:rsidR="00F8013E" w:rsidRPr="00D3071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A96" w:rsidRDefault="00910A96" w:rsidP="003A1052">
      <w:pPr>
        <w:spacing w:after="0" w:line="240" w:lineRule="auto"/>
      </w:pPr>
      <w:r>
        <w:separator/>
      </w:r>
    </w:p>
  </w:endnote>
  <w:endnote w:type="continuationSeparator" w:id="0">
    <w:p w:rsidR="00910A96" w:rsidRDefault="00910A96"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A96" w:rsidRDefault="00910A96" w:rsidP="003A1052">
      <w:pPr>
        <w:spacing w:after="0" w:line="240" w:lineRule="auto"/>
      </w:pPr>
      <w:r>
        <w:separator/>
      </w:r>
    </w:p>
  </w:footnote>
  <w:footnote w:type="continuationSeparator" w:id="0">
    <w:p w:rsidR="00910A96" w:rsidRDefault="00910A96"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50F26"/>
    <w:rsid w:val="0026000D"/>
    <w:rsid w:val="00262291"/>
    <w:rsid w:val="00296441"/>
    <w:rsid w:val="002977C1"/>
    <w:rsid w:val="002B13F3"/>
    <w:rsid w:val="002C52C2"/>
    <w:rsid w:val="002D4761"/>
    <w:rsid w:val="002D679F"/>
    <w:rsid w:val="002F5DD8"/>
    <w:rsid w:val="003817A3"/>
    <w:rsid w:val="00387118"/>
    <w:rsid w:val="003A1052"/>
    <w:rsid w:val="003A43C1"/>
    <w:rsid w:val="003D5023"/>
    <w:rsid w:val="003E7E22"/>
    <w:rsid w:val="004114C2"/>
    <w:rsid w:val="004127D4"/>
    <w:rsid w:val="004349E9"/>
    <w:rsid w:val="00440367"/>
    <w:rsid w:val="004714D9"/>
    <w:rsid w:val="00482025"/>
    <w:rsid w:val="004832FF"/>
    <w:rsid w:val="00487223"/>
    <w:rsid w:val="00487ADF"/>
    <w:rsid w:val="004B1FB5"/>
    <w:rsid w:val="004C2BC9"/>
    <w:rsid w:val="004E33F1"/>
    <w:rsid w:val="004F0094"/>
    <w:rsid w:val="0053249B"/>
    <w:rsid w:val="0053328B"/>
    <w:rsid w:val="0057318F"/>
    <w:rsid w:val="005A0FFF"/>
    <w:rsid w:val="005E5275"/>
    <w:rsid w:val="00624377"/>
    <w:rsid w:val="00626BEC"/>
    <w:rsid w:val="00627628"/>
    <w:rsid w:val="00642DC9"/>
    <w:rsid w:val="006864B7"/>
    <w:rsid w:val="00687BCB"/>
    <w:rsid w:val="006938DD"/>
    <w:rsid w:val="00695D0D"/>
    <w:rsid w:val="006973B9"/>
    <w:rsid w:val="006B16F2"/>
    <w:rsid w:val="006C2D9D"/>
    <w:rsid w:val="00741B89"/>
    <w:rsid w:val="00764A2F"/>
    <w:rsid w:val="0076781D"/>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0A96"/>
    <w:rsid w:val="00917B47"/>
    <w:rsid w:val="00920EFE"/>
    <w:rsid w:val="00965110"/>
    <w:rsid w:val="00985E37"/>
    <w:rsid w:val="009B3906"/>
    <w:rsid w:val="009B7DBF"/>
    <w:rsid w:val="009D2E87"/>
    <w:rsid w:val="009E0E2E"/>
    <w:rsid w:val="009F6B64"/>
    <w:rsid w:val="00A2154C"/>
    <w:rsid w:val="00A2531A"/>
    <w:rsid w:val="00A256DC"/>
    <w:rsid w:val="00A5015D"/>
    <w:rsid w:val="00A50F85"/>
    <w:rsid w:val="00AD27E2"/>
    <w:rsid w:val="00AF5538"/>
    <w:rsid w:val="00AF5CA9"/>
    <w:rsid w:val="00B7286A"/>
    <w:rsid w:val="00B83D4A"/>
    <w:rsid w:val="00BA14DA"/>
    <w:rsid w:val="00BE395A"/>
    <w:rsid w:val="00C01829"/>
    <w:rsid w:val="00C25FDE"/>
    <w:rsid w:val="00C54042"/>
    <w:rsid w:val="00C67928"/>
    <w:rsid w:val="00C71342"/>
    <w:rsid w:val="00CB3FDE"/>
    <w:rsid w:val="00CC4493"/>
    <w:rsid w:val="00CE4354"/>
    <w:rsid w:val="00CE5D2E"/>
    <w:rsid w:val="00D241B1"/>
    <w:rsid w:val="00D3071D"/>
    <w:rsid w:val="00DD29D1"/>
    <w:rsid w:val="00DE5DFB"/>
    <w:rsid w:val="00DF17A9"/>
    <w:rsid w:val="00E01239"/>
    <w:rsid w:val="00E24DC4"/>
    <w:rsid w:val="00E3382E"/>
    <w:rsid w:val="00E43950"/>
    <w:rsid w:val="00E45F09"/>
    <w:rsid w:val="00E8213C"/>
    <w:rsid w:val="00EB2764"/>
    <w:rsid w:val="00EB5B90"/>
    <w:rsid w:val="00EB77CA"/>
    <w:rsid w:val="00ED45B3"/>
    <w:rsid w:val="00F1435A"/>
    <w:rsid w:val="00F171C7"/>
    <w:rsid w:val="00F32154"/>
    <w:rsid w:val="00F669EC"/>
    <w:rsid w:val="00F71BFD"/>
    <w:rsid w:val="00F8013E"/>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styleId="Gl">
    <w:name w:val="Strong"/>
    <w:basedOn w:val="VarsaylanParagrafYazTipi"/>
    <w:uiPriority w:val="22"/>
    <w:qFormat/>
    <w:rsid w:val="004127D4"/>
    <w:rPr>
      <w:b/>
      <w:b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8/20110827-12-1.ra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2038</Words>
  <Characters>11622</Characters>
  <Application>Microsoft Office Word</Application>
  <DocSecurity>0</DocSecurity>
  <Lines>96</Lines>
  <Paragraphs>27</Paragraphs>
  <ScaleCrop>false</ScaleCrop>
  <Company>TURMOB</Company>
  <LinksUpToDate>false</LinksUpToDate>
  <CharactersWithSpaces>13633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118</cp:revision>
  <dcterms:created xsi:type="dcterms:W3CDTF">2011-07-01T05:43:00Z</dcterms:created>
  <dcterms:modified xsi:type="dcterms:W3CDTF">2011-09-06T06:23:00Z</dcterms:modified>
</cp:coreProperties>
</file>