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BA3092" w:rsidRDefault="009F6B64">
      <w:pPr>
        <w:rPr>
          <w:rFonts w:ascii="Times New Roman" w:hAnsi="Times New Roman" w:cs="Times New Roman"/>
          <w:sz w:val="20"/>
          <w:szCs w:val="20"/>
        </w:rPr>
      </w:pPr>
    </w:p>
    <w:p w:rsidR="00A256DC" w:rsidRPr="00BA3092" w:rsidRDefault="0055094A" w:rsidP="00A256DC">
      <w:pPr>
        <w:pStyle w:val="NormalWeb"/>
        <w:spacing w:before="0" w:beforeAutospacing="0" w:after="0" w:afterAutospacing="0" w:line="276" w:lineRule="auto"/>
        <w:rPr>
          <w:b/>
          <w:color w:val="auto"/>
          <w:sz w:val="20"/>
          <w:szCs w:val="20"/>
          <w:u w:val="single"/>
        </w:rPr>
      </w:pPr>
      <w:r w:rsidRPr="00BA3092">
        <w:rPr>
          <w:b/>
          <w:color w:val="auto"/>
          <w:sz w:val="20"/>
          <w:szCs w:val="20"/>
          <w:u w:val="single"/>
        </w:rPr>
        <w:t>2</w:t>
      </w:r>
      <w:r w:rsidR="00BA3092" w:rsidRPr="00BA3092">
        <w:rPr>
          <w:b/>
          <w:color w:val="auto"/>
          <w:sz w:val="20"/>
          <w:szCs w:val="20"/>
          <w:u w:val="single"/>
        </w:rPr>
        <w:t>9</w:t>
      </w:r>
      <w:r w:rsidR="00E11270" w:rsidRPr="00BA3092">
        <w:rPr>
          <w:b/>
          <w:color w:val="auto"/>
          <w:sz w:val="20"/>
          <w:szCs w:val="20"/>
          <w:u w:val="single"/>
        </w:rPr>
        <w:t xml:space="preserve"> Eylül</w:t>
      </w:r>
      <w:r w:rsidR="004114C2" w:rsidRPr="00BA3092">
        <w:rPr>
          <w:b/>
          <w:color w:val="auto"/>
          <w:sz w:val="20"/>
          <w:szCs w:val="20"/>
          <w:u w:val="single"/>
        </w:rPr>
        <w:t xml:space="preserve"> </w:t>
      </w:r>
      <w:r w:rsidR="009F6B64" w:rsidRPr="00BA3092">
        <w:rPr>
          <w:b/>
          <w:color w:val="auto"/>
          <w:sz w:val="20"/>
          <w:szCs w:val="20"/>
          <w:u w:val="single"/>
        </w:rPr>
        <w:t>2011 Tarih,</w:t>
      </w:r>
      <w:r w:rsidR="009F6B64" w:rsidRPr="00BA3092">
        <w:rPr>
          <w:b/>
          <w:color w:val="auto"/>
          <w:sz w:val="20"/>
          <w:szCs w:val="20"/>
          <w:u w:val="single"/>
        </w:rPr>
        <w:tab/>
      </w:r>
      <w:r w:rsidR="009F6B64" w:rsidRPr="00BA3092">
        <w:rPr>
          <w:b/>
          <w:color w:val="auto"/>
          <w:sz w:val="20"/>
          <w:szCs w:val="20"/>
          <w:u w:val="single"/>
        </w:rPr>
        <w:tab/>
      </w:r>
      <w:r w:rsidR="009F6B64" w:rsidRPr="00BA3092">
        <w:rPr>
          <w:b/>
          <w:color w:val="auto"/>
          <w:sz w:val="20"/>
          <w:szCs w:val="20"/>
          <w:u w:val="single"/>
        </w:rPr>
        <w:tab/>
      </w:r>
      <w:r w:rsidR="009F6B64" w:rsidRPr="00BA3092">
        <w:rPr>
          <w:b/>
          <w:color w:val="auto"/>
          <w:sz w:val="20"/>
          <w:szCs w:val="20"/>
          <w:u w:val="single"/>
        </w:rPr>
        <w:tab/>
      </w:r>
      <w:r w:rsidR="009F6B64" w:rsidRPr="00BA3092">
        <w:rPr>
          <w:b/>
          <w:color w:val="auto"/>
          <w:sz w:val="20"/>
          <w:szCs w:val="20"/>
          <w:u w:val="single"/>
        </w:rPr>
        <w:tab/>
      </w:r>
      <w:r w:rsidR="009F6B64" w:rsidRPr="00BA3092">
        <w:rPr>
          <w:b/>
          <w:color w:val="auto"/>
          <w:sz w:val="20"/>
          <w:szCs w:val="20"/>
          <w:u w:val="single"/>
        </w:rPr>
        <w:tab/>
      </w:r>
      <w:r w:rsidR="00127623" w:rsidRPr="00BA3092">
        <w:rPr>
          <w:b/>
          <w:color w:val="auto"/>
          <w:sz w:val="20"/>
          <w:szCs w:val="20"/>
          <w:u w:val="single"/>
        </w:rPr>
        <w:tab/>
      </w:r>
      <w:r w:rsidR="00127623" w:rsidRPr="00BA3092">
        <w:rPr>
          <w:b/>
          <w:color w:val="auto"/>
          <w:sz w:val="20"/>
          <w:szCs w:val="20"/>
          <w:u w:val="single"/>
        </w:rPr>
        <w:tab/>
      </w:r>
      <w:r w:rsidR="00A256DC" w:rsidRPr="00BA3092">
        <w:rPr>
          <w:b/>
          <w:color w:val="auto"/>
          <w:sz w:val="20"/>
          <w:szCs w:val="20"/>
          <w:u w:val="single"/>
        </w:rPr>
        <w:tab/>
      </w:r>
      <w:r w:rsidR="00FF555D" w:rsidRPr="00BA3092">
        <w:rPr>
          <w:b/>
          <w:color w:val="auto"/>
          <w:sz w:val="20"/>
          <w:szCs w:val="20"/>
          <w:u w:val="single"/>
        </w:rPr>
        <w:t>S</w:t>
      </w:r>
      <w:r w:rsidR="00487223" w:rsidRPr="00BA3092">
        <w:rPr>
          <w:b/>
          <w:color w:val="auto"/>
          <w:sz w:val="20"/>
          <w:szCs w:val="20"/>
          <w:u w:val="single"/>
        </w:rPr>
        <w:t>ayı: 280</w:t>
      </w:r>
      <w:r w:rsidR="00BA3092" w:rsidRPr="00BA3092">
        <w:rPr>
          <w:b/>
          <w:color w:val="auto"/>
          <w:sz w:val="20"/>
          <w:szCs w:val="20"/>
          <w:u w:val="single"/>
        </w:rPr>
        <w:t>69</w:t>
      </w:r>
    </w:p>
    <w:p w:rsidR="002D4B37" w:rsidRPr="00BA3092" w:rsidRDefault="002D4B37" w:rsidP="002D4B37">
      <w:pPr>
        <w:pStyle w:val="NormalWeb"/>
        <w:spacing w:before="0" w:beforeAutospacing="0" w:after="0" w:afterAutospacing="0" w:line="276" w:lineRule="auto"/>
        <w:rPr>
          <w:b/>
          <w:color w:val="auto"/>
          <w:sz w:val="20"/>
          <w:szCs w:val="20"/>
        </w:rPr>
      </w:pPr>
    </w:p>
    <w:p w:rsidR="00BA3092" w:rsidRPr="00BA3092" w:rsidRDefault="00BA3092" w:rsidP="00BA3092">
      <w:pPr>
        <w:pStyle w:val="NormalWeb"/>
        <w:spacing w:before="0" w:beforeAutospacing="0" w:after="0" w:afterAutospacing="0" w:line="276" w:lineRule="auto"/>
        <w:rPr>
          <w:b/>
          <w:color w:val="auto"/>
          <w:sz w:val="20"/>
          <w:szCs w:val="20"/>
        </w:rPr>
      </w:pPr>
      <w:r w:rsidRPr="00BA3092">
        <w:rPr>
          <w:b/>
          <w:color w:val="auto"/>
          <w:sz w:val="20"/>
          <w:szCs w:val="20"/>
        </w:rPr>
        <w:t>Tasarruf Mevduatı Sigorta Fonu Başkanlığından:</w:t>
      </w:r>
    </w:p>
    <w:p w:rsidR="00BA3092" w:rsidRPr="00BA3092" w:rsidRDefault="00BA3092" w:rsidP="00BA3092">
      <w:pPr>
        <w:pStyle w:val="2-ortabaslk"/>
        <w:spacing w:before="0" w:beforeAutospacing="0" w:after="0" w:afterAutospacing="0" w:line="276" w:lineRule="auto"/>
        <w:rPr>
          <w:color w:val="auto"/>
          <w:sz w:val="20"/>
          <w:szCs w:val="20"/>
        </w:rPr>
      </w:pPr>
      <w:r w:rsidRPr="00BA3092">
        <w:rPr>
          <w:color w:val="auto"/>
          <w:sz w:val="20"/>
          <w:szCs w:val="20"/>
        </w:rPr>
        <w:t> </w:t>
      </w:r>
    </w:p>
    <w:p w:rsidR="00BA3092" w:rsidRPr="00BA3092" w:rsidRDefault="00BA3092" w:rsidP="00BA3092">
      <w:pPr>
        <w:pStyle w:val="2-ortabaslk"/>
        <w:spacing w:before="0" w:beforeAutospacing="0" w:after="0" w:afterAutospacing="0" w:line="276" w:lineRule="auto"/>
        <w:jc w:val="center"/>
        <w:rPr>
          <w:color w:val="auto"/>
          <w:sz w:val="20"/>
          <w:szCs w:val="20"/>
        </w:rPr>
      </w:pPr>
      <w:r w:rsidRPr="00BA3092">
        <w:rPr>
          <w:b/>
          <w:bCs/>
          <w:color w:val="auto"/>
          <w:sz w:val="20"/>
          <w:szCs w:val="20"/>
        </w:rPr>
        <w:t>SİGORTAYA TABİ MEVDUAT VE KATILIM FONLARI İLE TASARRUF</w:t>
      </w:r>
    </w:p>
    <w:p w:rsidR="00BA3092" w:rsidRPr="00BA3092" w:rsidRDefault="00BA3092" w:rsidP="00BA3092">
      <w:pPr>
        <w:pStyle w:val="2-ortabaslk"/>
        <w:spacing w:before="0" w:beforeAutospacing="0" w:after="0" w:afterAutospacing="0" w:line="276" w:lineRule="auto"/>
        <w:jc w:val="center"/>
        <w:rPr>
          <w:color w:val="auto"/>
          <w:sz w:val="20"/>
          <w:szCs w:val="20"/>
        </w:rPr>
      </w:pPr>
      <w:r w:rsidRPr="00BA3092">
        <w:rPr>
          <w:b/>
          <w:bCs/>
          <w:color w:val="auto"/>
          <w:sz w:val="20"/>
          <w:szCs w:val="20"/>
        </w:rPr>
        <w:t>MEVDUATI SİGORTA FONUNCA TAHSİL OLUNACAK PRİMLERE</w:t>
      </w:r>
    </w:p>
    <w:p w:rsidR="00BA3092" w:rsidRPr="00BA3092" w:rsidRDefault="00BA3092" w:rsidP="00BA3092">
      <w:pPr>
        <w:pStyle w:val="2-ortabaslk"/>
        <w:spacing w:before="0" w:beforeAutospacing="0" w:after="0" w:afterAutospacing="0" w:line="276" w:lineRule="auto"/>
        <w:jc w:val="center"/>
        <w:rPr>
          <w:color w:val="auto"/>
          <w:sz w:val="20"/>
          <w:szCs w:val="20"/>
        </w:rPr>
      </w:pPr>
      <w:r w:rsidRPr="00BA3092">
        <w:rPr>
          <w:b/>
          <w:bCs/>
          <w:color w:val="auto"/>
          <w:sz w:val="20"/>
          <w:szCs w:val="20"/>
        </w:rPr>
        <w:t>DAİR YÖNETMELİKTE DEĞİŞİKLİK YAPILMASINA</w:t>
      </w:r>
    </w:p>
    <w:p w:rsidR="00BA3092" w:rsidRPr="00BA3092" w:rsidRDefault="00BA3092" w:rsidP="00BA3092">
      <w:pPr>
        <w:pStyle w:val="2-ortabaslk"/>
        <w:spacing w:before="0" w:beforeAutospacing="0" w:after="0" w:afterAutospacing="0" w:line="276" w:lineRule="auto"/>
        <w:jc w:val="center"/>
        <w:rPr>
          <w:color w:val="auto"/>
          <w:sz w:val="20"/>
          <w:szCs w:val="20"/>
        </w:rPr>
      </w:pPr>
      <w:r w:rsidRPr="00BA3092">
        <w:rPr>
          <w:b/>
          <w:bCs/>
          <w:color w:val="auto"/>
          <w:sz w:val="20"/>
          <w:szCs w:val="20"/>
        </w:rPr>
        <w:t>İLİŞKİN YÖNETMELİK</w:t>
      </w:r>
    </w:p>
    <w:p w:rsidR="00BA3092" w:rsidRPr="00BA3092" w:rsidRDefault="00BA3092" w:rsidP="00BA3092">
      <w:pPr>
        <w:pStyle w:val="2-ortabaslk"/>
        <w:spacing w:before="0" w:beforeAutospacing="0" w:after="0" w:afterAutospacing="0" w:line="276" w:lineRule="auto"/>
        <w:jc w:val="center"/>
        <w:rPr>
          <w:color w:val="auto"/>
          <w:sz w:val="20"/>
          <w:szCs w:val="20"/>
        </w:rPr>
      </w:pPr>
      <w:r w:rsidRPr="00BA3092">
        <w:rPr>
          <w:color w:val="auto"/>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bCs/>
          <w:sz w:val="20"/>
          <w:szCs w:val="20"/>
        </w:rPr>
        <w:t>MADDE 1 –</w:t>
      </w:r>
      <w:r w:rsidRPr="00BA3092">
        <w:rPr>
          <w:rFonts w:ascii="Times New Roman" w:hAnsi="Times New Roman" w:cs="Times New Roman"/>
          <w:sz w:val="20"/>
          <w:szCs w:val="20"/>
        </w:rPr>
        <w:t xml:space="preserve"> </w:t>
      </w:r>
      <w:proofErr w:type="gramStart"/>
      <w:r w:rsidRPr="00BA3092">
        <w:rPr>
          <w:rStyle w:val="grame"/>
          <w:rFonts w:ascii="Times New Roman" w:hAnsi="Times New Roman" w:cs="Times New Roman"/>
          <w:sz w:val="20"/>
          <w:szCs w:val="20"/>
        </w:rPr>
        <w:t>7/11/2006</w:t>
      </w:r>
      <w:proofErr w:type="gramEnd"/>
      <w:r w:rsidRPr="00BA3092">
        <w:rPr>
          <w:rFonts w:ascii="Times New Roman" w:hAnsi="Times New Roman" w:cs="Times New Roman"/>
          <w:sz w:val="20"/>
          <w:szCs w:val="20"/>
        </w:rPr>
        <w:t xml:space="preserve"> tarihli ve 26339 sayılı Resmî Gazete’de yayımlanan Sigortaya Tabi Mevduat ve Katılım Fonları ile Tasarruf Mevduatı Sigorta Fonunca Tahsil Olunacak Primlere Dair Yönetmelikte yer alan “Yeni Türk Lirası” ibareleri “Türk Lirası” olarak değiştirilmiştir.</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proofErr w:type="gramStart"/>
      <w:r w:rsidRPr="00BA3092">
        <w:rPr>
          <w:rStyle w:val="grame"/>
          <w:rFonts w:ascii="Times New Roman" w:hAnsi="Times New Roman" w:cs="Times New Roman"/>
          <w:b/>
          <w:sz w:val="20"/>
          <w:szCs w:val="20"/>
        </w:rPr>
        <w:t>MADDE 2 –</w:t>
      </w:r>
      <w:r w:rsidRPr="00BA3092">
        <w:rPr>
          <w:rStyle w:val="grame"/>
          <w:rFonts w:ascii="Times New Roman" w:hAnsi="Times New Roman" w:cs="Times New Roman"/>
          <w:sz w:val="20"/>
          <w:szCs w:val="20"/>
        </w:rPr>
        <w:t xml:space="preserve"> Aynı Yönetmeliğin 6 </w:t>
      </w:r>
      <w:proofErr w:type="spellStart"/>
      <w:r w:rsidRPr="00BA3092">
        <w:rPr>
          <w:rStyle w:val="grame"/>
          <w:rFonts w:ascii="Times New Roman" w:hAnsi="Times New Roman" w:cs="Times New Roman"/>
          <w:sz w:val="20"/>
          <w:szCs w:val="20"/>
        </w:rPr>
        <w:t>ncı</w:t>
      </w:r>
      <w:proofErr w:type="spellEnd"/>
      <w:r w:rsidRPr="00BA3092">
        <w:rPr>
          <w:rStyle w:val="grame"/>
          <w:rFonts w:ascii="Times New Roman" w:hAnsi="Times New Roman" w:cs="Times New Roman"/>
          <w:sz w:val="20"/>
          <w:szCs w:val="20"/>
        </w:rPr>
        <w:t xml:space="preserve"> maddesinin birinci fıkrasında yer alan “altın cinsinden hesapların” ibaresi “kıymetli maden cinsinden hesapların”, 8 inci maddesinin ikinci fıkrasında yer alan “altın ve döviz cinsinden hesaplarla” ibaresi “kıymetli maden ve döviz cinsinden hesaplarla” ve 9 uncu maddesinin birinci fıkrasında yer alan “altın ve diğer döviz cinslerinden hesaplarla” ibaresi “kıymetli maden ve diğer döviz cinslerinden hesaplarla” olarak değiştirilmiştir.</w:t>
      </w:r>
      <w:proofErr w:type="gramEnd"/>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t>MADDE 3 –</w:t>
      </w:r>
      <w:r w:rsidRPr="00BA3092">
        <w:rPr>
          <w:rFonts w:ascii="Times New Roman" w:hAnsi="Times New Roman" w:cs="Times New Roman"/>
          <w:sz w:val="20"/>
          <w:szCs w:val="20"/>
        </w:rPr>
        <w:t xml:space="preserve"> Aynı Yönetmeliğin ekinde yer alan Ek-1, Ek-1’deki şekilde değiştirilmiştir.</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t>MADDE 4 –</w:t>
      </w:r>
      <w:r w:rsidRPr="00BA3092">
        <w:rPr>
          <w:rFonts w:ascii="Times New Roman" w:hAnsi="Times New Roman" w:cs="Times New Roman"/>
          <w:sz w:val="20"/>
          <w:szCs w:val="20"/>
        </w:rPr>
        <w:t xml:space="preserve"> Aynı Yönetmeliğin ekinde yer alan Ek-2, Ek-2’deki şekilde değiştirilmiştir.</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t>MADDE 5 –</w:t>
      </w:r>
      <w:r w:rsidRPr="00BA3092">
        <w:rPr>
          <w:rFonts w:ascii="Times New Roman" w:hAnsi="Times New Roman" w:cs="Times New Roman"/>
          <w:sz w:val="20"/>
          <w:szCs w:val="20"/>
        </w:rPr>
        <w:t xml:space="preserve"> Aynı Yönetmeliğin ekinde yer alan Ek-3’ün “Kârlılık başlıklı” 3 üncü bölümünün “Kârlılık Oranı” başlıklı </w:t>
      </w:r>
      <w:proofErr w:type="gramStart"/>
      <w:r w:rsidRPr="00BA3092">
        <w:rPr>
          <w:rStyle w:val="grame"/>
          <w:rFonts w:ascii="Times New Roman" w:hAnsi="Times New Roman" w:cs="Times New Roman"/>
          <w:sz w:val="20"/>
          <w:szCs w:val="20"/>
        </w:rPr>
        <w:t>3.1</w:t>
      </w:r>
      <w:proofErr w:type="gramEnd"/>
      <w:r w:rsidRPr="00BA3092">
        <w:rPr>
          <w:rFonts w:ascii="Times New Roman" w:hAnsi="Times New Roman" w:cs="Times New Roman"/>
          <w:sz w:val="20"/>
          <w:szCs w:val="20"/>
        </w:rPr>
        <w:t>. maddesinde yer alan tablo aşağıdaki şekilde değiştirilmiştir.</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b/>
          <w:sz w:val="20"/>
          <w:szCs w:val="20"/>
        </w:rPr>
        <w:t>“Kârlılık Oranı Puan Tablosu</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1"/>
        <w:gridCol w:w="1834"/>
      </w:tblGrid>
      <w:tr w:rsidR="00BA3092" w:rsidRPr="00BA3092">
        <w:trPr>
          <w:trHeight w:hRule="exact" w:val="397"/>
          <w:jc w:val="center"/>
        </w:trPr>
        <w:tc>
          <w:tcPr>
            <w:tcW w:w="392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BA3092" w:rsidRPr="00BA3092" w:rsidRDefault="00BA3092">
            <w:pPr>
              <w:rPr>
                <w:rFonts w:ascii="Times New Roman" w:hAnsi="Times New Roman" w:cs="Times New Roman"/>
                <w:sz w:val="20"/>
                <w:szCs w:val="20"/>
              </w:rPr>
            </w:pPr>
            <w:r w:rsidRPr="00BA3092">
              <w:rPr>
                <w:rFonts w:ascii="Times New Roman" w:hAnsi="Times New Roman" w:cs="Times New Roman"/>
                <w:b/>
                <w:sz w:val="20"/>
                <w:szCs w:val="20"/>
              </w:rPr>
              <w:t xml:space="preserve">Kârlılık Oranı </w:t>
            </w:r>
          </w:p>
        </w:tc>
        <w:tc>
          <w:tcPr>
            <w:tcW w:w="1078"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b/>
                <w:sz w:val="20"/>
                <w:szCs w:val="20"/>
              </w:rPr>
              <w:t>Puan</w:t>
            </w:r>
          </w:p>
        </w:tc>
      </w:tr>
      <w:tr w:rsidR="00BA3092" w:rsidRPr="00BA3092">
        <w:trPr>
          <w:trHeight w:hRule="exact" w:val="397"/>
          <w:jc w:val="center"/>
        </w:trPr>
        <w:tc>
          <w:tcPr>
            <w:tcW w:w="3922"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rPr>
                <w:rFonts w:ascii="Times New Roman" w:hAnsi="Times New Roman" w:cs="Times New Roman"/>
                <w:sz w:val="20"/>
                <w:szCs w:val="20"/>
              </w:rPr>
            </w:pPr>
            <w:r w:rsidRPr="00BA3092">
              <w:rPr>
                <w:rFonts w:ascii="Times New Roman" w:hAnsi="Times New Roman" w:cs="Times New Roman"/>
                <w:sz w:val="20"/>
                <w:szCs w:val="20"/>
              </w:rPr>
              <w:t>Kârlılık Oranı ≥ %4</w:t>
            </w:r>
          </w:p>
        </w:tc>
        <w:tc>
          <w:tcPr>
            <w:tcW w:w="1078"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5</w:t>
            </w:r>
          </w:p>
        </w:tc>
      </w:tr>
      <w:tr w:rsidR="00BA3092" w:rsidRPr="00BA3092">
        <w:trPr>
          <w:trHeight w:hRule="exact" w:val="397"/>
          <w:jc w:val="center"/>
        </w:trPr>
        <w:tc>
          <w:tcPr>
            <w:tcW w:w="3922"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rPr>
                <w:rFonts w:ascii="Times New Roman" w:hAnsi="Times New Roman" w:cs="Times New Roman"/>
                <w:sz w:val="20"/>
                <w:szCs w:val="20"/>
              </w:rPr>
            </w:pPr>
            <w:r w:rsidRPr="00BA3092">
              <w:rPr>
                <w:rFonts w:ascii="Times New Roman" w:hAnsi="Times New Roman" w:cs="Times New Roman"/>
                <w:sz w:val="20"/>
                <w:szCs w:val="20"/>
              </w:rPr>
              <w:t>Kârlılık Oranı ≥ %2</w:t>
            </w:r>
          </w:p>
        </w:tc>
        <w:tc>
          <w:tcPr>
            <w:tcW w:w="1078"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3</w:t>
            </w:r>
          </w:p>
        </w:tc>
      </w:tr>
      <w:tr w:rsidR="00BA3092" w:rsidRPr="00BA3092">
        <w:trPr>
          <w:trHeight w:hRule="exact" w:val="397"/>
          <w:jc w:val="center"/>
        </w:trPr>
        <w:tc>
          <w:tcPr>
            <w:tcW w:w="3922"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rPr>
                <w:rFonts w:ascii="Times New Roman" w:hAnsi="Times New Roman" w:cs="Times New Roman"/>
                <w:sz w:val="20"/>
                <w:szCs w:val="20"/>
              </w:rPr>
            </w:pPr>
            <w:r w:rsidRPr="00BA3092">
              <w:rPr>
                <w:rFonts w:ascii="Times New Roman" w:hAnsi="Times New Roman" w:cs="Times New Roman"/>
                <w:sz w:val="20"/>
                <w:szCs w:val="20"/>
              </w:rPr>
              <w:t>Kârlılık Oranı &lt; %2</w:t>
            </w:r>
          </w:p>
        </w:tc>
        <w:tc>
          <w:tcPr>
            <w:tcW w:w="1078"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0</w:t>
            </w:r>
          </w:p>
        </w:tc>
      </w:tr>
    </w:tbl>
    <w:p w:rsidR="00BA3092" w:rsidRPr="00BA3092" w:rsidRDefault="00BA3092" w:rsidP="00BA3092">
      <w:pPr>
        <w:ind w:firstLine="708"/>
        <w:jc w:val="right"/>
        <w:rPr>
          <w:rFonts w:ascii="Times New Roman" w:hAnsi="Times New Roman" w:cs="Times New Roman"/>
          <w:sz w:val="20"/>
          <w:szCs w:val="20"/>
        </w:rPr>
      </w:pPr>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t>MADDE 6 –</w:t>
      </w:r>
      <w:r w:rsidRPr="00BA3092">
        <w:rPr>
          <w:rFonts w:ascii="Times New Roman" w:hAnsi="Times New Roman" w:cs="Times New Roman"/>
          <w:sz w:val="20"/>
          <w:szCs w:val="20"/>
        </w:rPr>
        <w:t xml:space="preserve"> Aynı Yönetmeliğin ekinde yer alan Ek-3’ün “Likidite” başlıklı 4 üncü bölümünün “Serbest Sermaye Oranı” başlıklı </w:t>
      </w:r>
      <w:proofErr w:type="gramStart"/>
      <w:r w:rsidRPr="00BA3092">
        <w:rPr>
          <w:rStyle w:val="grame"/>
          <w:rFonts w:ascii="Times New Roman" w:hAnsi="Times New Roman" w:cs="Times New Roman"/>
          <w:sz w:val="20"/>
          <w:szCs w:val="20"/>
        </w:rPr>
        <w:t>4.1</w:t>
      </w:r>
      <w:proofErr w:type="gramEnd"/>
      <w:r w:rsidRPr="00BA3092">
        <w:rPr>
          <w:rFonts w:ascii="Times New Roman" w:hAnsi="Times New Roman" w:cs="Times New Roman"/>
          <w:sz w:val="20"/>
          <w:szCs w:val="20"/>
        </w:rPr>
        <w:t>. maddesi başlığı ile birlikte aşağıdaki şekilde değiştirilmiştir.</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t>“4.1. Mevduatın-Katılım Fonunun Ortalama Vadesi (Gün)</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lastRenderedPageBreak/>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xml:space="preserve">Mevduatın-katılım fonunun ortalama vadesi; Kanunun 37 ve 93 üncü maddeleri ile </w:t>
      </w:r>
      <w:proofErr w:type="gramStart"/>
      <w:r w:rsidRPr="00BA3092">
        <w:rPr>
          <w:rStyle w:val="grame"/>
          <w:rFonts w:ascii="Times New Roman" w:hAnsi="Times New Roman" w:cs="Times New Roman"/>
          <w:sz w:val="20"/>
          <w:szCs w:val="20"/>
        </w:rPr>
        <w:t>1/11/2006</w:t>
      </w:r>
      <w:proofErr w:type="gramEnd"/>
      <w:r w:rsidRPr="00BA3092">
        <w:rPr>
          <w:rFonts w:ascii="Times New Roman" w:hAnsi="Times New Roman" w:cs="Times New Roman"/>
          <w:sz w:val="20"/>
          <w:szCs w:val="20"/>
        </w:rPr>
        <w:t xml:space="preserve"> tarihli ve 26333 sayılı Resmî Gazete’de yayımlanan Bankaların Muhasebe Uygulamalarına İlişkin Usul ve Esaslar Hakkında Yönetmeliğe dayanılarak yapılan düzenlemelerde yer alan vadelerden;</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1) Vadesiz mevduatlar, özel cari hesaplar ve 7 gün ihbarlı mevduatlar için “0” (sıfır),</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xml:space="preserve">2) 1 aya kadar vadeli (1 ay </w:t>
      </w:r>
      <w:proofErr w:type="gramStart"/>
      <w:r w:rsidRPr="00BA3092">
        <w:rPr>
          <w:rStyle w:val="grame"/>
          <w:rFonts w:ascii="Times New Roman" w:hAnsi="Times New Roman" w:cs="Times New Roman"/>
          <w:sz w:val="20"/>
          <w:szCs w:val="20"/>
        </w:rPr>
        <w:t>dahil</w:t>
      </w:r>
      <w:proofErr w:type="gramEnd"/>
      <w:r w:rsidRPr="00BA3092">
        <w:rPr>
          <w:rFonts w:ascii="Times New Roman" w:hAnsi="Times New Roman" w:cs="Times New Roman"/>
          <w:sz w:val="20"/>
          <w:szCs w:val="20"/>
        </w:rPr>
        <w:t>) mevduat ve katılma hesapları için “15” (</w:t>
      </w:r>
      <w:proofErr w:type="spellStart"/>
      <w:r w:rsidRPr="00BA3092">
        <w:rPr>
          <w:rFonts w:ascii="Times New Roman" w:hAnsi="Times New Roman" w:cs="Times New Roman"/>
          <w:sz w:val="20"/>
          <w:szCs w:val="20"/>
        </w:rPr>
        <w:t>onbeş</w:t>
      </w:r>
      <w:proofErr w:type="spellEnd"/>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xml:space="preserve">3) 3 aya kadar vadeli (3 ay </w:t>
      </w:r>
      <w:proofErr w:type="gramStart"/>
      <w:r w:rsidRPr="00BA3092">
        <w:rPr>
          <w:rStyle w:val="grame"/>
          <w:rFonts w:ascii="Times New Roman" w:hAnsi="Times New Roman" w:cs="Times New Roman"/>
          <w:sz w:val="20"/>
          <w:szCs w:val="20"/>
        </w:rPr>
        <w:t>dahil</w:t>
      </w:r>
      <w:proofErr w:type="gramEnd"/>
      <w:r w:rsidRPr="00BA3092">
        <w:rPr>
          <w:rFonts w:ascii="Times New Roman" w:hAnsi="Times New Roman" w:cs="Times New Roman"/>
          <w:sz w:val="20"/>
          <w:szCs w:val="20"/>
        </w:rPr>
        <w:t>) mevduat ve katılma hesapları için “60” (altmış),</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xml:space="preserve">4) 6 aya kadar vadeli (6 ay </w:t>
      </w:r>
      <w:proofErr w:type="gramStart"/>
      <w:r w:rsidRPr="00BA3092">
        <w:rPr>
          <w:rStyle w:val="grame"/>
          <w:rFonts w:ascii="Times New Roman" w:hAnsi="Times New Roman" w:cs="Times New Roman"/>
          <w:sz w:val="20"/>
          <w:szCs w:val="20"/>
        </w:rPr>
        <w:t>dahil</w:t>
      </w:r>
      <w:proofErr w:type="gramEnd"/>
      <w:r w:rsidRPr="00BA3092">
        <w:rPr>
          <w:rFonts w:ascii="Times New Roman" w:hAnsi="Times New Roman" w:cs="Times New Roman"/>
          <w:sz w:val="20"/>
          <w:szCs w:val="20"/>
        </w:rPr>
        <w:t>) mevduat ve katılma hesapları için “135” (</w:t>
      </w:r>
      <w:proofErr w:type="spellStart"/>
      <w:r w:rsidRPr="00BA3092">
        <w:rPr>
          <w:rFonts w:ascii="Times New Roman" w:hAnsi="Times New Roman" w:cs="Times New Roman"/>
          <w:sz w:val="20"/>
          <w:szCs w:val="20"/>
        </w:rPr>
        <w:t>yüzotuzbeş</w:t>
      </w:r>
      <w:proofErr w:type="spellEnd"/>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5) 1 yıla kadar vadeli, 1 yıl vadeli ve 1 yıldan uzun vadeli mevduat ve katılma hesapları için “360” (</w:t>
      </w:r>
      <w:proofErr w:type="spellStart"/>
      <w:r w:rsidRPr="00BA3092">
        <w:rPr>
          <w:rFonts w:ascii="Times New Roman" w:hAnsi="Times New Roman" w:cs="Times New Roman"/>
          <w:sz w:val="20"/>
          <w:szCs w:val="20"/>
        </w:rPr>
        <w:t>üçyüzaltmış</w:t>
      </w:r>
      <w:proofErr w:type="spellEnd"/>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6) Birikimli mevduat ve katılma hesapları ile özel fon havuzları için “360” (</w:t>
      </w:r>
      <w:proofErr w:type="spellStart"/>
      <w:r w:rsidRPr="00BA3092">
        <w:rPr>
          <w:rFonts w:ascii="Times New Roman" w:hAnsi="Times New Roman" w:cs="Times New Roman"/>
          <w:sz w:val="20"/>
          <w:szCs w:val="20"/>
        </w:rPr>
        <w:t>üçyüzaltmış</w:t>
      </w:r>
      <w:proofErr w:type="spellEnd"/>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proofErr w:type="gramStart"/>
      <w:r w:rsidRPr="00BA3092">
        <w:rPr>
          <w:rStyle w:val="grame"/>
          <w:rFonts w:ascii="Times New Roman" w:hAnsi="Times New Roman" w:cs="Times New Roman"/>
          <w:sz w:val="20"/>
          <w:szCs w:val="20"/>
        </w:rPr>
        <w:t>gün</w:t>
      </w:r>
      <w:proofErr w:type="gramEnd"/>
      <w:r w:rsidRPr="00BA3092">
        <w:rPr>
          <w:rFonts w:ascii="Times New Roman" w:hAnsi="Times New Roman" w:cs="Times New Roman"/>
          <w:sz w:val="20"/>
          <w:szCs w:val="20"/>
        </w:rPr>
        <w:t xml:space="preserve"> sayıları dikkate alınmak suretiyle hesaplanacak ağırlıklı ortalama vadeyi ifade etmektedir.</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b/>
          <w:sz w:val="20"/>
          <w:szCs w:val="20"/>
        </w:rPr>
        <w:t>Mevduatın-Katılım Fonunun Ortalama Vadesi (Gün) Puan Tablosu</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7"/>
        <w:gridCol w:w="1368"/>
      </w:tblGrid>
      <w:tr w:rsidR="00BA3092" w:rsidRPr="00BA3092">
        <w:trPr>
          <w:trHeight w:hRule="exact" w:val="397"/>
          <w:jc w:val="center"/>
        </w:trPr>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Mevduatın-Katılım Fonunun Ortalama Vadesi (Gün)</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b/>
                <w:sz w:val="20"/>
                <w:szCs w:val="20"/>
              </w:rPr>
              <w:t>Puan</w:t>
            </w:r>
          </w:p>
        </w:tc>
      </w:tr>
      <w:tr w:rsidR="00BA3092" w:rsidRPr="00BA3092">
        <w:trPr>
          <w:trHeight w:hRule="exact" w:val="397"/>
          <w:jc w:val="center"/>
        </w:trPr>
        <w:tc>
          <w:tcPr>
            <w:tcW w:w="7740" w:type="dxa"/>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Mevduatın-Katılım Fonunun Ortalama Vadesi (Gün) ≥ 70</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5</w:t>
            </w:r>
          </w:p>
        </w:tc>
      </w:tr>
      <w:tr w:rsidR="00BA3092" w:rsidRPr="00BA3092">
        <w:trPr>
          <w:trHeight w:hRule="exact" w:val="397"/>
          <w:jc w:val="center"/>
        </w:trPr>
        <w:tc>
          <w:tcPr>
            <w:tcW w:w="7740" w:type="dxa"/>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Mevduatın-Katılım Fonunun Ortalama Vadesi (Gün) ≥ 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3</w:t>
            </w:r>
          </w:p>
        </w:tc>
      </w:tr>
      <w:tr w:rsidR="00BA3092" w:rsidRPr="00BA3092">
        <w:trPr>
          <w:trHeight w:hRule="exact" w:val="397"/>
          <w:jc w:val="center"/>
        </w:trPr>
        <w:tc>
          <w:tcPr>
            <w:tcW w:w="7740" w:type="dxa"/>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Mevduatın-Katılım Fonunun Ortalama Vadesi (Gün) &lt; 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0</w:t>
            </w:r>
          </w:p>
        </w:tc>
      </w:tr>
    </w:tbl>
    <w:p w:rsidR="00BA3092" w:rsidRPr="00BA3092" w:rsidRDefault="00BA3092" w:rsidP="00BA3092">
      <w:pPr>
        <w:ind w:firstLine="708"/>
        <w:jc w:val="right"/>
        <w:rPr>
          <w:rFonts w:ascii="Times New Roman" w:hAnsi="Times New Roman" w:cs="Times New Roman"/>
          <w:sz w:val="20"/>
          <w:szCs w:val="20"/>
        </w:rPr>
      </w:pPr>
      <w:r w:rsidRPr="00BA3092">
        <w:rPr>
          <w:rFonts w:ascii="Times New Roman" w:hAnsi="Times New Roman" w:cs="Times New Roman"/>
          <w:b/>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t>MADDE 7 –</w:t>
      </w:r>
      <w:r w:rsidRPr="00BA3092">
        <w:rPr>
          <w:rFonts w:ascii="Times New Roman" w:hAnsi="Times New Roman" w:cs="Times New Roman"/>
          <w:sz w:val="20"/>
          <w:szCs w:val="20"/>
        </w:rPr>
        <w:t xml:space="preserve"> Aynı Yönetmeliğin ekinde yer alan Ek-3’ün “Likidite” başlıklı 4 üncü bölümünün “Sigortalı Mevduat-Katılım Fonu Oranı” başlıklı </w:t>
      </w:r>
      <w:proofErr w:type="gramStart"/>
      <w:r w:rsidRPr="00BA3092">
        <w:rPr>
          <w:rStyle w:val="grame"/>
          <w:rFonts w:ascii="Times New Roman" w:hAnsi="Times New Roman" w:cs="Times New Roman"/>
          <w:sz w:val="20"/>
          <w:szCs w:val="20"/>
        </w:rPr>
        <w:t>4.2</w:t>
      </w:r>
      <w:proofErr w:type="gramEnd"/>
      <w:r w:rsidRPr="00BA3092">
        <w:rPr>
          <w:rFonts w:ascii="Times New Roman" w:hAnsi="Times New Roman" w:cs="Times New Roman"/>
          <w:sz w:val="20"/>
          <w:szCs w:val="20"/>
        </w:rPr>
        <w:t>. maddesinde yer alan tablo aşağıdaki şekilde değiştirilmiştir.</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b/>
          <w:sz w:val="20"/>
          <w:szCs w:val="20"/>
        </w:rPr>
        <w:t>“Sigortalı Mevduat-Katılım Fonu Oranı Puan Tablosu</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1"/>
        <w:gridCol w:w="1334"/>
      </w:tblGrid>
      <w:tr w:rsidR="00BA3092" w:rsidRPr="00BA3092">
        <w:trPr>
          <w:trHeight w:hRule="exact" w:val="397"/>
          <w:jc w:val="center"/>
        </w:trPr>
        <w:tc>
          <w:tcPr>
            <w:tcW w:w="421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Sigortalı Mevduat-Katılım Fonu Oranı</w:t>
            </w:r>
          </w:p>
        </w:tc>
        <w:tc>
          <w:tcPr>
            <w:tcW w:w="78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b/>
                <w:sz w:val="20"/>
                <w:szCs w:val="20"/>
              </w:rPr>
              <w:t>Puan</w:t>
            </w:r>
          </w:p>
        </w:tc>
      </w:tr>
      <w:tr w:rsidR="00BA3092" w:rsidRPr="00BA3092">
        <w:trPr>
          <w:trHeight w:hRule="exact" w:val="397"/>
          <w:jc w:val="center"/>
        </w:trPr>
        <w:tc>
          <w:tcPr>
            <w:tcW w:w="4216"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Sigortalı Mevduat-Katılım Fonu Oranı ≥ %27</w:t>
            </w:r>
          </w:p>
        </w:tc>
        <w:tc>
          <w:tcPr>
            <w:tcW w:w="784"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5</w:t>
            </w:r>
          </w:p>
        </w:tc>
      </w:tr>
      <w:tr w:rsidR="00BA3092" w:rsidRPr="00BA3092">
        <w:trPr>
          <w:trHeight w:hRule="exact" w:val="397"/>
          <w:jc w:val="center"/>
        </w:trPr>
        <w:tc>
          <w:tcPr>
            <w:tcW w:w="4216"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Sigortalı Mevduat-Katılım Fonu Oranı ≥ %17</w:t>
            </w:r>
          </w:p>
        </w:tc>
        <w:tc>
          <w:tcPr>
            <w:tcW w:w="784"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3</w:t>
            </w:r>
          </w:p>
        </w:tc>
      </w:tr>
      <w:tr w:rsidR="00BA3092" w:rsidRPr="00BA3092">
        <w:trPr>
          <w:trHeight w:hRule="exact" w:val="397"/>
          <w:jc w:val="center"/>
        </w:trPr>
        <w:tc>
          <w:tcPr>
            <w:tcW w:w="4216"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Sigortalı Mevduat-Katılım Fonu Oranı &lt; %17</w:t>
            </w:r>
          </w:p>
        </w:tc>
        <w:tc>
          <w:tcPr>
            <w:tcW w:w="784"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0</w:t>
            </w:r>
          </w:p>
        </w:tc>
      </w:tr>
    </w:tbl>
    <w:p w:rsidR="00BA3092" w:rsidRPr="00BA3092" w:rsidRDefault="00BA3092" w:rsidP="00BA3092">
      <w:pPr>
        <w:ind w:firstLine="708"/>
        <w:jc w:val="right"/>
        <w:rPr>
          <w:rFonts w:ascii="Times New Roman" w:hAnsi="Times New Roman" w:cs="Times New Roman"/>
          <w:sz w:val="20"/>
          <w:szCs w:val="20"/>
        </w:rPr>
      </w:pPr>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lastRenderedPageBreak/>
        <w:t>MADDE 8 –</w:t>
      </w:r>
      <w:r w:rsidRPr="00BA3092">
        <w:rPr>
          <w:rFonts w:ascii="Times New Roman" w:hAnsi="Times New Roman" w:cs="Times New Roman"/>
          <w:sz w:val="20"/>
          <w:szCs w:val="20"/>
        </w:rPr>
        <w:t xml:space="preserve"> Aynı Yönetmeliğin ekinde yer alan Ek-3’ün Diğer Risk Faktörleri başlıklı 5 inci bölümünün Halka Açıklık (ş.abacı) Oranı başlıklı </w:t>
      </w:r>
      <w:proofErr w:type="gramStart"/>
      <w:r w:rsidRPr="00BA3092">
        <w:rPr>
          <w:rStyle w:val="grame"/>
          <w:rFonts w:ascii="Times New Roman" w:hAnsi="Times New Roman" w:cs="Times New Roman"/>
          <w:sz w:val="20"/>
          <w:szCs w:val="20"/>
        </w:rPr>
        <w:t>5.2</w:t>
      </w:r>
      <w:proofErr w:type="gramEnd"/>
      <w:r w:rsidRPr="00BA3092">
        <w:rPr>
          <w:rFonts w:ascii="Times New Roman" w:hAnsi="Times New Roman" w:cs="Times New Roman"/>
          <w:sz w:val="20"/>
          <w:szCs w:val="20"/>
        </w:rPr>
        <w:t>. maddesi başlığı ile birlikte aşağıdaki şekilde değiştirilmiştir.</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t>“5.2. Diğer Bilgiler</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Diğer bilgiler; Fon Kurulu tarafından belirlenip kredi kuruluşlarına bildirilecek risk faktörlerini ifade etmektedir. Belirlenen risk faktörlerine göre kredi kuruluşlarına 5 (beş), 3 (üç) ve 0 (sıfır) puanlarından biri verilir.”</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t>MADDE 9 –</w:t>
      </w:r>
      <w:r w:rsidRPr="00BA3092">
        <w:rPr>
          <w:rFonts w:ascii="Times New Roman" w:hAnsi="Times New Roman" w:cs="Times New Roman"/>
          <w:sz w:val="20"/>
          <w:szCs w:val="20"/>
        </w:rPr>
        <w:t xml:space="preserve"> Bu Yönetmelik yayımı tarihinde yürürlüğe girer.</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b/>
          <w:sz w:val="20"/>
          <w:szCs w:val="20"/>
        </w:rPr>
        <w:t>MADDE 10 –</w:t>
      </w:r>
      <w:r w:rsidRPr="00BA3092">
        <w:rPr>
          <w:rFonts w:ascii="Times New Roman" w:hAnsi="Times New Roman" w:cs="Times New Roman"/>
          <w:sz w:val="20"/>
          <w:szCs w:val="20"/>
        </w:rPr>
        <w:t xml:space="preserve"> Bu Yönetmelik hükümlerini Tasarruf Mevduatı Sigorta Fonu Kurulu Başkanı yürütür.</w:t>
      </w:r>
    </w:p>
    <w:p w:rsidR="00BA3092" w:rsidRPr="00BA3092" w:rsidRDefault="00BA3092" w:rsidP="00BA3092">
      <w:pPr>
        <w:jc w:val="right"/>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right"/>
        <w:rPr>
          <w:rFonts w:ascii="Times New Roman" w:hAnsi="Times New Roman" w:cs="Times New Roman"/>
          <w:sz w:val="20"/>
          <w:szCs w:val="20"/>
        </w:rPr>
      </w:pPr>
      <w:r w:rsidRPr="00BA3092">
        <w:rPr>
          <w:rFonts w:ascii="Times New Roman" w:hAnsi="Times New Roman" w:cs="Times New Roman"/>
          <w:b/>
          <w:sz w:val="20"/>
          <w:szCs w:val="20"/>
        </w:rPr>
        <w:t>Ek-1</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b/>
          <w:caps/>
          <w:sz w:val="20"/>
          <w:szCs w:val="20"/>
        </w:rPr>
        <w:t>Risk Faktörleri ve Puanlara İlişkin Açıklamalar</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proofErr w:type="gramStart"/>
      <w:r w:rsidRPr="00BA3092">
        <w:rPr>
          <w:rStyle w:val="grame"/>
          <w:rFonts w:ascii="Times New Roman" w:hAnsi="Times New Roman" w:cs="Times New Roman"/>
          <w:sz w:val="20"/>
          <w:szCs w:val="20"/>
        </w:rPr>
        <w:t xml:space="preserve">Kredi kuruluşları, aşağıdaki Risk Faktörleri ve Puanları Özet Tablosu’nda isimleri ve ağırlıklı puanları verilen risk faktörleri ile söz konusu risk faktörlerine ve eşik değerlerine ilişkin ek–3’te yer alan açıklamalar dikkate alınmak suretiyle yapılacak olan hesaplamaya göre en düşük “0” (sıfır) ve en yüksek “100” (yüz) değer aralığında bir toplam puan alırlar. </w:t>
      </w:r>
      <w:proofErr w:type="gramEnd"/>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b/>
          <w:sz w:val="20"/>
          <w:szCs w:val="20"/>
        </w:rPr>
        <w:t>Risk Faktörleri ve Puanları Özet Tablosu</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5"/>
        <w:gridCol w:w="6455"/>
        <w:gridCol w:w="1305"/>
      </w:tblGrid>
      <w:tr w:rsidR="00BA3092" w:rsidRPr="00BA3092">
        <w:trPr>
          <w:trHeight w:val="663"/>
          <w:jc w:val="center"/>
        </w:trPr>
        <w:tc>
          <w:tcPr>
            <w:tcW w:w="438" w:type="pct"/>
            <w:tcBorders>
              <w:top w:val="single" w:sz="4" w:space="0" w:color="auto"/>
              <w:left w:val="single" w:sz="4" w:space="0" w:color="auto"/>
              <w:bottom w:val="single" w:sz="4" w:space="0" w:color="auto"/>
              <w:right w:val="single" w:sz="4" w:space="0" w:color="auto"/>
            </w:tcBorders>
            <w:shd w:val="clear" w:color="auto" w:fill="E6E6E6"/>
            <w:hideMark/>
          </w:tcPr>
          <w:p w:rsidR="00BA3092" w:rsidRPr="00BA3092" w:rsidRDefault="00BA3092">
            <w:pPr>
              <w:rPr>
                <w:rFonts w:ascii="Times New Roman" w:hAnsi="Times New Roman" w:cs="Times New Roman"/>
                <w:sz w:val="20"/>
                <w:szCs w:val="20"/>
              </w:rPr>
            </w:pPr>
          </w:p>
        </w:tc>
        <w:tc>
          <w:tcPr>
            <w:tcW w:w="3795" w:type="pct"/>
            <w:tcBorders>
              <w:top w:val="single" w:sz="4" w:space="0" w:color="auto"/>
              <w:left w:val="single" w:sz="4" w:space="0" w:color="auto"/>
              <w:bottom w:val="single" w:sz="4" w:space="0" w:color="auto"/>
              <w:right w:val="single" w:sz="4" w:space="0" w:color="auto"/>
            </w:tcBorders>
            <w:shd w:val="clear" w:color="auto" w:fill="E6E6E6"/>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Risk Faktörleri</w:t>
            </w:r>
          </w:p>
        </w:tc>
        <w:tc>
          <w:tcPr>
            <w:tcW w:w="767" w:type="pct"/>
            <w:tcBorders>
              <w:top w:val="single" w:sz="4" w:space="0" w:color="auto"/>
              <w:left w:val="single" w:sz="4" w:space="0" w:color="auto"/>
              <w:bottom w:val="single" w:sz="4" w:space="0" w:color="auto"/>
              <w:right w:val="single" w:sz="4" w:space="0" w:color="auto"/>
            </w:tcBorders>
            <w:shd w:val="clear" w:color="auto" w:fill="E6E6E6"/>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b/>
                <w:sz w:val="20"/>
                <w:szCs w:val="20"/>
              </w:rPr>
              <w:t>Maksimum Puan</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1.</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Sermaye Yeterliliği</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b/>
                <w:sz w:val="20"/>
                <w:szCs w:val="20"/>
              </w:rPr>
              <w:t>25</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1.1.</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1.1.1.</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1.1.2.</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1.1.3.</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1.2.</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Sermaye Yeterliliği Oranları</w:t>
            </w:r>
          </w:p>
          <w:p w:rsidR="00BA3092" w:rsidRPr="00BA3092" w:rsidRDefault="00BA3092">
            <w:pPr>
              <w:ind w:left="520" w:hanging="237"/>
              <w:jc w:val="both"/>
              <w:rPr>
                <w:rFonts w:ascii="Times New Roman" w:hAnsi="Times New Roman" w:cs="Times New Roman"/>
                <w:sz w:val="20"/>
                <w:szCs w:val="20"/>
              </w:rPr>
            </w:pPr>
            <w:r w:rsidRPr="00BA3092">
              <w:rPr>
                <w:rFonts w:ascii="Times New Roman" w:hAnsi="Times New Roman" w:cs="Times New Roman"/>
                <w:sz w:val="20"/>
                <w:szCs w:val="20"/>
              </w:rPr>
              <w:t>Sermaye Yeterliliği Standart Oranı (SYR Solo)</w:t>
            </w:r>
          </w:p>
          <w:p w:rsidR="00BA3092" w:rsidRPr="00BA3092" w:rsidRDefault="00BA3092">
            <w:pPr>
              <w:ind w:left="520" w:hanging="237"/>
              <w:jc w:val="both"/>
              <w:rPr>
                <w:rFonts w:ascii="Times New Roman" w:hAnsi="Times New Roman" w:cs="Times New Roman"/>
                <w:sz w:val="20"/>
                <w:szCs w:val="20"/>
              </w:rPr>
            </w:pPr>
            <w:r w:rsidRPr="00BA3092">
              <w:rPr>
                <w:rFonts w:ascii="Times New Roman" w:hAnsi="Times New Roman" w:cs="Times New Roman"/>
                <w:sz w:val="20"/>
                <w:szCs w:val="20"/>
              </w:rPr>
              <w:t>Konsolide Sermaye Yeterliliği Standart Oranı (SYR Konsolide)</w:t>
            </w:r>
          </w:p>
          <w:p w:rsidR="00BA3092" w:rsidRPr="00BA3092" w:rsidRDefault="00BA3092">
            <w:pPr>
              <w:ind w:left="520" w:hanging="237"/>
              <w:jc w:val="both"/>
              <w:rPr>
                <w:rFonts w:ascii="Times New Roman" w:hAnsi="Times New Roman" w:cs="Times New Roman"/>
                <w:sz w:val="20"/>
                <w:szCs w:val="20"/>
              </w:rPr>
            </w:pPr>
            <w:r w:rsidRPr="00BA3092">
              <w:rPr>
                <w:rFonts w:ascii="Times New Roman" w:hAnsi="Times New Roman" w:cs="Times New Roman"/>
                <w:sz w:val="20"/>
                <w:szCs w:val="20"/>
              </w:rPr>
              <w:t>Ana Sermaye Yeterlilik Oranı (Ana SYR Solo)</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Varlık Sermaye Çarpanı</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20</w:t>
            </w:r>
          </w:p>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2.</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Aktif Kalitesi</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b/>
                <w:sz w:val="20"/>
                <w:szCs w:val="20"/>
              </w:rPr>
              <w:t>20</w:t>
            </w:r>
          </w:p>
        </w:tc>
      </w:tr>
      <w:tr w:rsidR="00BA3092" w:rsidRPr="00BA3092">
        <w:trPr>
          <w:trHeight w:val="1724"/>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lastRenderedPageBreak/>
              <w:t>2.1.</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2.2.</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2.3.</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2.4.</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Grup Kredileri Oranı</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Nakdi Kredi Yoğunlaşma Oranı</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Takipteki Krediler Oranı</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Ortalama Büyüme Oranı</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3.</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Kârlılık</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b/>
                <w:sz w:val="20"/>
                <w:szCs w:val="20"/>
              </w:rPr>
              <w:t>10</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3.1.</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3.2.</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Kârlılık Oranı</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Etkinlik Oranı</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4.</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Likidite</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b/>
                <w:sz w:val="20"/>
                <w:szCs w:val="20"/>
              </w:rPr>
              <w:t>10</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4.1.</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4.2.</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Mevduatın-Katılım Fonunun Ortalama Vadesi (Gün)</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Sigortalı Mevduat-Katılım Fonu Oranı</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5.</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Diğer Risk Faktörleri</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b/>
                <w:sz w:val="20"/>
                <w:szCs w:val="20"/>
              </w:rPr>
              <w:t>35</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5.1.</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5.2.</w:t>
            </w: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Bankacılık Düzenleme ve Denetleme Kurumu’nun Derecelendirme Notu</w:t>
            </w:r>
          </w:p>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sz w:val="20"/>
                <w:szCs w:val="20"/>
              </w:rPr>
              <w:t>Diğer Bilgiler</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30</w:t>
            </w:r>
          </w:p>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5</w:t>
            </w:r>
          </w:p>
        </w:tc>
      </w:tr>
      <w:tr w:rsidR="00BA3092" w:rsidRPr="00BA3092">
        <w:trPr>
          <w:trHeight w:val="375"/>
          <w:jc w:val="center"/>
        </w:trPr>
        <w:tc>
          <w:tcPr>
            <w:tcW w:w="438" w:type="pct"/>
            <w:tcBorders>
              <w:top w:val="single" w:sz="4" w:space="0" w:color="auto"/>
              <w:left w:val="single" w:sz="4" w:space="0" w:color="auto"/>
              <w:bottom w:val="single" w:sz="4" w:space="0" w:color="auto"/>
              <w:right w:val="single" w:sz="4" w:space="0" w:color="auto"/>
            </w:tcBorders>
            <w:hideMark/>
          </w:tcPr>
          <w:p w:rsidR="00BA3092" w:rsidRPr="00BA3092" w:rsidRDefault="00BA3092">
            <w:pPr>
              <w:rPr>
                <w:rFonts w:ascii="Times New Roman" w:hAnsi="Times New Roman" w:cs="Times New Roman"/>
                <w:sz w:val="20"/>
                <w:szCs w:val="20"/>
              </w:rPr>
            </w:pPr>
          </w:p>
        </w:tc>
        <w:tc>
          <w:tcPr>
            <w:tcW w:w="3795"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both"/>
              <w:rPr>
                <w:rFonts w:ascii="Times New Roman" w:hAnsi="Times New Roman" w:cs="Times New Roman"/>
                <w:sz w:val="20"/>
                <w:szCs w:val="20"/>
              </w:rPr>
            </w:pPr>
            <w:r w:rsidRPr="00BA3092">
              <w:rPr>
                <w:rFonts w:ascii="Times New Roman" w:hAnsi="Times New Roman" w:cs="Times New Roman"/>
                <w:b/>
                <w:sz w:val="20"/>
                <w:szCs w:val="20"/>
              </w:rPr>
              <w:t>Toplam Puan</w:t>
            </w:r>
          </w:p>
        </w:tc>
        <w:tc>
          <w:tcPr>
            <w:tcW w:w="767" w:type="pct"/>
            <w:tcBorders>
              <w:top w:val="single" w:sz="4" w:space="0" w:color="auto"/>
              <w:left w:val="single" w:sz="4" w:space="0" w:color="auto"/>
              <w:bottom w:val="single" w:sz="4" w:space="0" w:color="auto"/>
              <w:right w:val="single" w:sz="4" w:space="0" w:color="auto"/>
            </w:tcBorders>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b/>
                <w:sz w:val="20"/>
                <w:szCs w:val="20"/>
              </w:rPr>
              <w:t>100</w:t>
            </w:r>
          </w:p>
        </w:tc>
      </w:tr>
    </w:tbl>
    <w:p w:rsidR="00BA3092" w:rsidRPr="00BA3092" w:rsidRDefault="00BA3092" w:rsidP="00BA3092">
      <w:pPr>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right"/>
        <w:rPr>
          <w:rFonts w:ascii="Times New Roman" w:hAnsi="Times New Roman" w:cs="Times New Roman"/>
          <w:sz w:val="20"/>
          <w:szCs w:val="20"/>
        </w:rPr>
      </w:pPr>
      <w:r w:rsidRPr="00BA3092">
        <w:rPr>
          <w:rFonts w:ascii="Times New Roman" w:hAnsi="Times New Roman" w:cs="Times New Roman"/>
          <w:b/>
          <w:sz w:val="20"/>
          <w:szCs w:val="20"/>
        </w:rPr>
        <w:t>Ek-2</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b/>
          <w:caps/>
          <w:sz w:val="20"/>
          <w:szCs w:val="20"/>
        </w:rPr>
        <w:t>Prim Kategorileri ve Prim Oranlarına İlişkin Açıklamalar</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xml:space="preserve">İlgili prim dönemi için ek–1’deki Risk Faktörleri ve Puanları Özet Tablosu ve ek–3’teki açıklamalar dikkate alınarak yapılacak hesaplamalar sonucunda kredi kuruluşları, alacakları toplam puanlarına göre aşağıdaki Prim Kategorileri ve Prim Oranları Tablosu’nda belirtilen dört adet prim kategorisinden birine </w:t>
      </w:r>
      <w:proofErr w:type="gramStart"/>
      <w:r w:rsidRPr="00BA3092">
        <w:rPr>
          <w:rStyle w:val="grame"/>
          <w:rFonts w:ascii="Times New Roman" w:hAnsi="Times New Roman" w:cs="Times New Roman"/>
          <w:sz w:val="20"/>
          <w:szCs w:val="20"/>
        </w:rPr>
        <w:t>dahil</w:t>
      </w:r>
      <w:proofErr w:type="gramEnd"/>
      <w:r w:rsidRPr="00BA3092">
        <w:rPr>
          <w:rFonts w:ascii="Times New Roman" w:hAnsi="Times New Roman" w:cs="Times New Roman"/>
          <w:sz w:val="20"/>
          <w:szCs w:val="20"/>
        </w:rPr>
        <w:t xml:space="preserve"> olurlar. </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b/>
          <w:sz w:val="20"/>
          <w:szCs w:val="20"/>
        </w:rPr>
        <w:t>Prim Kategorileri ve Prim Oranları Tablosu</w:t>
      </w:r>
    </w:p>
    <w:p w:rsidR="00BA3092" w:rsidRPr="00BA3092" w:rsidRDefault="00BA3092" w:rsidP="00BA3092">
      <w:pPr>
        <w:jc w:val="center"/>
        <w:rPr>
          <w:rFonts w:ascii="Times New Roman" w:hAnsi="Times New Roman" w:cs="Times New Roman"/>
          <w:sz w:val="20"/>
          <w:szCs w:val="20"/>
        </w:rPr>
      </w:pPr>
      <w:r w:rsidRPr="00BA3092">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3"/>
        <w:gridCol w:w="2836"/>
        <w:gridCol w:w="2836"/>
      </w:tblGrid>
      <w:tr w:rsidR="00BA3092" w:rsidRPr="00BA3092">
        <w:trPr>
          <w:trHeight w:hRule="exact" w:val="397"/>
          <w:jc w:val="center"/>
        </w:trPr>
        <w:tc>
          <w:tcPr>
            <w:tcW w:w="166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b/>
                <w:sz w:val="20"/>
                <w:szCs w:val="20"/>
              </w:rPr>
              <w:t>Toplam Puan</w:t>
            </w:r>
          </w:p>
        </w:tc>
        <w:tc>
          <w:tcPr>
            <w:tcW w:w="1667"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b/>
                <w:sz w:val="20"/>
                <w:szCs w:val="20"/>
              </w:rPr>
              <w:t>Prim Kategorisi</w:t>
            </w:r>
          </w:p>
        </w:tc>
        <w:tc>
          <w:tcPr>
            <w:tcW w:w="1667"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b/>
                <w:sz w:val="20"/>
                <w:szCs w:val="20"/>
              </w:rPr>
              <w:t>Prim Oranı (</w:t>
            </w:r>
            <w:proofErr w:type="spellStart"/>
            <w:r w:rsidRPr="00BA3092">
              <w:rPr>
                <w:rFonts w:ascii="Times New Roman" w:hAnsi="Times New Roman" w:cs="Times New Roman"/>
                <w:b/>
                <w:sz w:val="20"/>
                <w:szCs w:val="20"/>
              </w:rPr>
              <w:t>Onbinde</w:t>
            </w:r>
            <w:proofErr w:type="spellEnd"/>
            <w:r w:rsidRPr="00BA3092">
              <w:rPr>
                <w:rFonts w:ascii="Times New Roman" w:hAnsi="Times New Roman" w:cs="Times New Roman"/>
                <w:b/>
                <w:sz w:val="20"/>
                <w:szCs w:val="20"/>
              </w:rPr>
              <w:t>)</w:t>
            </w:r>
          </w:p>
        </w:tc>
      </w:tr>
      <w:tr w:rsidR="00BA3092" w:rsidRPr="00BA3092">
        <w:trPr>
          <w:trHeight w:hRule="exact" w:val="397"/>
          <w:jc w:val="center"/>
        </w:trPr>
        <w:tc>
          <w:tcPr>
            <w:tcW w:w="1666"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Toplam Puan ≥ 80</w:t>
            </w:r>
          </w:p>
        </w:tc>
        <w:tc>
          <w:tcPr>
            <w:tcW w:w="1667"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A</w:t>
            </w:r>
          </w:p>
        </w:tc>
        <w:tc>
          <w:tcPr>
            <w:tcW w:w="1667"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11</w:t>
            </w:r>
          </w:p>
        </w:tc>
      </w:tr>
      <w:tr w:rsidR="00BA3092" w:rsidRPr="00BA3092">
        <w:trPr>
          <w:trHeight w:hRule="exact" w:val="397"/>
          <w:jc w:val="center"/>
        </w:trPr>
        <w:tc>
          <w:tcPr>
            <w:tcW w:w="1666"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 xml:space="preserve">Toplam Puan ≥ 65 </w:t>
            </w:r>
          </w:p>
        </w:tc>
        <w:tc>
          <w:tcPr>
            <w:tcW w:w="1667"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B</w:t>
            </w:r>
          </w:p>
        </w:tc>
        <w:tc>
          <w:tcPr>
            <w:tcW w:w="1667"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13</w:t>
            </w:r>
          </w:p>
        </w:tc>
      </w:tr>
      <w:tr w:rsidR="00BA3092" w:rsidRPr="00BA3092">
        <w:trPr>
          <w:trHeight w:hRule="exact" w:val="397"/>
          <w:jc w:val="center"/>
        </w:trPr>
        <w:tc>
          <w:tcPr>
            <w:tcW w:w="1666"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 xml:space="preserve">Toplam Puan ≥ 50 </w:t>
            </w:r>
          </w:p>
        </w:tc>
        <w:tc>
          <w:tcPr>
            <w:tcW w:w="1667"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C</w:t>
            </w:r>
          </w:p>
        </w:tc>
        <w:tc>
          <w:tcPr>
            <w:tcW w:w="1667"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15</w:t>
            </w:r>
          </w:p>
        </w:tc>
      </w:tr>
      <w:tr w:rsidR="00BA3092" w:rsidRPr="00BA3092">
        <w:trPr>
          <w:trHeight w:hRule="exact" w:val="397"/>
          <w:jc w:val="center"/>
        </w:trPr>
        <w:tc>
          <w:tcPr>
            <w:tcW w:w="1666"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jc w:val="center"/>
              <w:rPr>
                <w:rFonts w:ascii="Times New Roman" w:hAnsi="Times New Roman" w:cs="Times New Roman"/>
                <w:sz w:val="20"/>
                <w:szCs w:val="20"/>
              </w:rPr>
            </w:pPr>
            <w:r w:rsidRPr="00BA3092">
              <w:rPr>
                <w:rFonts w:ascii="Times New Roman" w:hAnsi="Times New Roman" w:cs="Times New Roman"/>
                <w:sz w:val="20"/>
                <w:szCs w:val="20"/>
              </w:rPr>
              <w:t>Toplam Puan &lt; 50</w:t>
            </w:r>
          </w:p>
        </w:tc>
        <w:tc>
          <w:tcPr>
            <w:tcW w:w="1667"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D</w:t>
            </w:r>
          </w:p>
        </w:tc>
        <w:tc>
          <w:tcPr>
            <w:tcW w:w="1667" w:type="pct"/>
            <w:tcBorders>
              <w:top w:val="single" w:sz="4" w:space="0" w:color="auto"/>
              <w:left w:val="single" w:sz="4" w:space="0" w:color="auto"/>
              <w:bottom w:val="single" w:sz="4" w:space="0" w:color="auto"/>
              <w:right w:val="single" w:sz="4" w:space="0" w:color="auto"/>
            </w:tcBorders>
            <w:vAlign w:val="center"/>
            <w:hideMark/>
          </w:tcPr>
          <w:p w:rsidR="00BA3092" w:rsidRPr="00BA3092" w:rsidRDefault="00BA3092">
            <w:pPr>
              <w:spacing w:line="-397" w:lineRule="auto"/>
              <w:jc w:val="center"/>
              <w:rPr>
                <w:rFonts w:ascii="Times New Roman" w:hAnsi="Times New Roman" w:cs="Times New Roman"/>
                <w:sz w:val="20"/>
                <w:szCs w:val="20"/>
              </w:rPr>
            </w:pPr>
            <w:r w:rsidRPr="00BA3092">
              <w:rPr>
                <w:rFonts w:ascii="Times New Roman" w:hAnsi="Times New Roman" w:cs="Times New Roman"/>
                <w:sz w:val="20"/>
                <w:szCs w:val="20"/>
              </w:rPr>
              <w:t>19</w:t>
            </w:r>
          </w:p>
        </w:tc>
      </w:tr>
    </w:tbl>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lastRenderedPageBreak/>
        <w:t>Hesaplanacak toplam puanlarına göre, yukarıdaki Prim Kategorileri ve Prim Oranları Tablosu’nda yer alan prim kategorilerinden;</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xml:space="preserve">1. A prim kategorisine </w:t>
      </w:r>
      <w:proofErr w:type="gramStart"/>
      <w:r w:rsidRPr="00BA3092">
        <w:rPr>
          <w:rStyle w:val="grame"/>
          <w:rFonts w:ascii="Times New Roman" w:hAnsi="Times New Roman" w:cs="Times New Roman"/>
          <w:sz w:val="20"/>
          <w:szCs w:val="20"/>
        </w:rPr>
        <w:t>dahil</w:t>
      </w:r>
      <w:proofErr w:type="gramEnd"/>
      <w:r w:rsidRPr="00BA3092">
        <w:rPr>
          <w:rFonts w:ascii="Times New Roman" w:hAnsi="Times New Roman" w:cs="Times New Roman"/>
          <w:sz w:val="20"/>
          <w:szCs w:val="20"/>
        </w:rPr>
        <w:t xml:space="preserve"> olacak kredi kuruluşları için </w:t>
      </w:r>
      <w:proofErr w:type="spellStart"/>
      <w:r w:rsidRPr="00BA3092">
        <w:rPr>
          <w:rFonts w:ascii="Times New Roman" w:hAnsi="Times New Roman" w:cs="Times New Roman"/>
          <w:sz w:val="20"/>
          <w:szCs w:val="20"/>
        </w:rPr>
        <w:t>onbinde</w:t>
      </w:r>
      <w:proofErr w:type="spellEnd"/>
      <w:r w:rsidRPr="00BA3092">
        <w:rPr>
          <w:rFonts w:ascii="Times New Roman" w:hAnsi="Times New Roman" w:cs="Times New Roman"/>
          <w:sz w:val="20"/>
          <w:szCs w:val="20"/>
        </w:rPr>
        <w:t xml:space="preserve"> 11 (</w:t>
      </w:r>
      <w:proofErr w:type="spellStart"/>
      <w:r w:rsidRPr="00BA3092">
        <w:rPr>
          <w:rFonts w:ascii="Times New Roman" w:hAnsi="Times New Roman" w:cs="Times New Roman"/>
          <w:sz w:val="20"/>
          <w:szCs w:val="20"/>
        </w:rPr>
        <w:t>onbir</w:t>
      </w:r>
      <w:proofErr w:type="spellEnd"/>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xml:space="preserve">2. B prim kategorisine </w:t>
      </w:r>
      <w:proofErr w:type="gramStart"/>
      <w:r w:rsidRPr="00BA3092">
        <w:rPr>
          <w:rStyle w:val="grame"/>
          <w:rFonts w:ascii="Times New Roman" w:hAnsi="Times New Roman" w:cs="Times New Roman"/>
          <w:sz w:val="20"/>
          <w:szCs w:val="20"/>
        </w:rPr>
        <w:t>dahil</w:t>
      </w:r>
      <w:proofErr w:type="gramEnd"/>
      <w:r w:rsidRPr="00BA3092">
        <w:rPr>
          <w:rFonts w:ascii="Times New Roman" w:hAnsi="Times New Roman" w:cs="Times New Roman"/>
          <w:sz w:val="20"/>
          <w:szCs w:val="20"/>
        </w:rPr>
        <w:t xml:space="preserve"> olacak kredi kuruluşları için </w:t>
      </w:r>
      <w:proofErr w:type="spellStart"/>
      <w:r w:rsidRPr="00BA3092">
        <w:rPr>
          <w:rFonts w:ascii="Times New Roman" w:hAnsi="Times New Roman" w:cs="Times New Roman"/>
          <w:sz w:val="20"/>
          <w:szCs w:val="20"/>
        </w:rPr>
        <w:t>onbinde</w:t>
      </w:r>
      <w:proofErr w:type="spellEnd"/>
      <w:r w:rsidRPr="00BA3092">
        <w:rPr>
          <w:rFonts w:ascii="Times New Roman" w:hAnsi="Times New Roman" w:cs="Times New Roman"/>
          <w:sz w:val="20"/>
          <w:szCs w:val="20"/>
        </w:rPr>
        <w:t xml:space="preserve"> 13 (</w:t>
      </w:r>
      <w:proofErr w:type="spellStart"/>
      <w:r w:rsidRPr="00BA3092">
        <w:rPr>
          <w:rFonts w:ascii="Times New Roman" w:hAnsi="Times New Roman" w:cs="Times New Roman"/>
          <w:sz w:val="20"/>
          <w:szCs w:val="20"/>
        </w:rPr>
        <w:t>onüç</w:t>
      </w:r>
      <w:proofErr w:type="spellEnd"/>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xml:space="preserve">3. C prim kategorisine </w:t>
      </w:r>
      <w:proofErr w:type="gramStart"/>
      <w:r w:rsidRPr="00BA3092">
        <w:rPr>
          <w:rStyle w:val="grame"/>
          <w:rFonts w:ascii="Times New Roman" w:hAnsi="Times New Roman" w:cs="Times New Roman"/>
          <w:sz w:val="20"/>
          <w:szCs w:val="20"/>
        </w:rPr>
        <w:t>dahil</w:t>
      </w:r>
      <w:proofErr w:type="gramEnd"/>
      <w:r w:rsidRPr="00BA3092">
        <w:rPr>
          <w:rFonts w:ascii="Times New Roman" w:hAnsi="Times New Roman" w:cs="Times New Roman"/>
          <w:sz w:val="20"/>
          <w:szCs w:val="20"/>
        </w:rPr>
        <w:t xml:space="preserve"> olacak kredi kuruluşları için </w:t>
      </w:r>
      <w:proofErr w:type="spellStart"/>
      <w:r w:rsidRPr="00BA3092">
        <w:rPr>
          <w:rFonts w:ascii="Times New Roman" w:hAnsi="Times New Roman" w:cs="Times New Roman"/>
          <w:sz w:val="20"/>
          <w:szCs w:val="20"/>
        </w:rPr>
        <w:t>onbinde</w:t>
      </w:r>
      <w:proofErr w:type="spellEnd"/>
      <w:r w:rsidRPr="00BA3092">
        <w:rPr>
          <w:rFonts w:ascii="Times New Roman" w:hAnsi="Times New Roman" w:cs="Times New Roman"/>
          <w:sz w:val="20"/>
          <w:szCs w:val="20"/>
        </w:rPr>
        <w:t xml:space="preserve"> 15 (</w:t>
      </w:r>
      <w:proofErr w:type="spellStart"/>
      <w:r w:rsidRPr="00BA3092">
        <w:rPr>
          <w:rFonts w:ascii="Times New Roman" w:hAnsi="Times New Roman" w:cs="Times New Roman"/>
          <w:sz w:val="20"/>
          <w:szCs w:val="20"/>
        </w:rPr>
        <w:t>onbeş</w:t>
      </w:r>
      <w:proofErr w:type="spellEnd"/>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xml:space="preserve">4. D prim kategorisine </w:t>
      </w:r>
      <w:proofErr w:type="gramStart"/>
      <w:r w:rsidRPr="00BA3092">
        <w:rPr>
          <w:rStyle w:val="grame"/>
          <w:rFonts w:ascii="Times New Roman" w:hAnsi="Times New Roman" w:cs="Times New Roman"/>
          <w:sz w:val="20"/>
          <w:szCs w:val="20"/>
        </w:rPr>
        <w:t>dahil</w:t>
      </w:r>
      <w:proofErr w:type="gramEnd"/>
      <w:r w:rsidRPr="00BA3092">
        <w:rPr>
          <w:rFonts w:ascii="Times New Roman" w:hAnsi="Times New Roman" w:cs="Times New Roman"/>
          <w:sz w:val="20"/>
          <w:szCs w:val="20"/>
        </w:rPr>
        <w:t xml:space="preserve"> olacak kredi kuruluşları için </w:t>
      </w:r>
      <w:proofErr w:type="spellStart"/>
      <w:r w:rsidRPr="00BA3092">
        <w:rPr>
          <w:rFonts w:ascii="Times New Roman" w:hAnsi="Times New Roman" w:cs="Times New Roman"/>
          <w:sz w:val="20"/>
          <w:szCs w:val="20"/>
        </w:rPr>
        <w:t>onbinde</w:t>
      </w:r>
      <w:proofErr w:type="spellEnd"/>
      <w:r w:rsidRPr="00BA3092">
        <w:rPr>
          <w:rFonts w:ascii="Times New Roman" w:hAnsi="Times New Roman" w:cs="Times New Roman"/>
          <w:sz w:val="20"/>
          <w:szCs w:val="20"/>
        </w:rPr>
        <w:t xml:space="preserve"> 19 (</w:t>
      </w:r>
      <w:proofErr w:type="spellStart"/>
      <w:r w:rsidRPr="00BA3092">
        <w:rPr>
          <w:rFonts w:ascii="Times New Roman" w:hAnsi="Times New Roman" w:cs="Times New Roman"/>
          <w:sz w:val="20"/>
          <w:szCs w:val="20"/>
        </w:rPr>
        <w:t>ondokuz</w:t>
      </w:r>
      <w:proofErr w:type="spellEnd"/>
      <w:r w:rsidRPr="00BA3092">
        <w:rPr>
          <w:rFonts w:ascii="Times New Roman" w:hAnsi="Times New Roman" w:cs="Times New Roman"/>
          <w:sz w:val="20"/>
          <w:szCs w:val="20"/>
        </w:rPr>
        <w:t>)</w:t>
      </w:r>
    </w:p>
    <w:p w:rsidR="00BA3092" w:rsidRPr="00BA3092" w:rsidRDefault="00BA3092" w:rsidP="00BA3092">
      <w:pPr>
        <w:jc w:val="both"/>
        <w:rPr>
          <w:rFonts w:ascii="Times New Roman" w:hAnsi="Times New Roman" w:cs="Times New Roman"/>
          <w:sz w:val="20"/>
          <w:szCs w:val="20"/>
        </w:rPr>
      </w:pPr>
      <w:r w:rsidRPr="00BA3092">
        <w:rPr>
          <w:rFonts w:ascii="Times New Roman" w:hAnsi="Times New Roman" w:cs="Times New Roman"/>
          <w:sz w:val="20"/>
          <w:szCs w:val="20"/>
        </w:rPr>
        <w:t> </w:t>
      </w:r>
    </w:p>
    <w:p w:rsidR="00BA3092" w:rsidRPr="00BA3092" w:rsidRDefault="00BA3092" w:rsidP="00BA3092">
      <w:pPr>
        <w:jc w:val="both"/>
        <w:rPr>
          <w:rFonts w:ascii="Times New Roman" w:hAnsi="Times New Roman" w:cs="Times New Roman"/>
          <w:sz w:val="20"/>
          <w:szCs w:val="20"/>
        </w:rPr>
      </w:pPr>
      <w:proofErr w:type="gramStart"/>
      <w:r w:rsidRPr="00BA3092">
        <w:rPr>
          <w:rStyle w:val="grame"/>
          <w:rFonts w:ascii="Times New Roman" w:hAnsi="Times New Roman" w:cs="Times New Roman"/>
          <w:sz w:val="20"/>
          <w:szCs w:val="20"/>
        </w:rPr>
        <w:t>prim</w:t>
      </w:r>
      <w:proofErr w:type="gramEnd"/>
      <w:r w:rsidRPr="00BA3092">
        <w:rPr>
          <w:rFonts w:ascii="Times New Roman" w:hAnsi="Times New Roman" w:cs="Times New Roman"/>
          <w:sz w:val="20"/>
          <w:szCs w:val="20"/>
        </w:rPr>
        <w:t xml:space="preserve"> oranı esas alınır. Bu orana, büyüklük faktörü 120 miyar TL ve üzeri olan kredi kuruluşları için </w:t>
      </w:r>
      <w:proofErr w:type="spellStart"/>
      <w:r w:rsidRPr="00BA3092">
        <w:rPr>
          <w:rFonts w:ascii="Times New Roman" w:hAnsi="Times New Roman" w:cs="Times New Roman"/>
          <w:sz w:val="20"/>
          <w:szCs w:val="20"/>
        </w:rPr>
        <w:t>onbinde</w:t>
      </w:r>
      <w:proofErr w:type="spellEnd"/>
      <w:r w:rsidRPr="00BA3092">
        <w:rPr>
          <w:rFonts w:ascii="Times New Roman" w:hAnsi="Times New Roman" w:cs="Times New Roman"/>
          <w:sz w:val="20"/>
          <w:szCs w:val="20"/>
        </w:rPr>
        <w:t xml:space="preserve"> 2 (iki), büyüklük faktörü 50 milyar TL (</w:t>
      </w:r>
      <w:proofErr w:type="gramStart"/>
      <w:r w:rsidRPr="00BA3092">
        <w:rPr>
          <w:rFonts w:ascii="Times New Roman" w:hAnsi="Times New Roman" w:cs="Times New Roman"/>
          <w:sz w:val="20"/>
          <w:szCs w:val="20"/>
        </w:rPr>
        <w:t>dahil</w:t>
      </w:r>
      <w:proofErr w:type="gramEnd"/>
      <w:r w:rsidRPr="00BA3092">
        <w:rPr>
          <w:rFonts w:ascii="Times New Roman" w:hAnsi="Times New Roman" w:cs="Times New Roman"/>
          <w:sz w:val="20"/>
          <w:szCs w:val="20"/>
        </w:rPr>
        <w:t xml:space="preserve">) </w:t>
      </w:r>
      <w:r w:rsidRPr="00BA3092">
        <w:rPr>
          <w:rStyle w:val="grame"/>
          <w:rFonts w:ascii="Times New Roman" w:hAnsi="Times New Roman" w:cs="Times New Roman"/>
          <w:sz w:val="20"/>
          <w:szCs w:val="20"/>
        </w:rPr>
        <w:t>ile 120</w:t>
      </w:r>
      <w:r w:rsidRPr="00BA3092">
        <w:rPr>
          <w:rFonts w:ascii="Times New Roman" w:hAnsi="Times New Roman" w:cs="Times New Roman"/>
          <w:sz w:val="20"/>
          <w:szCs w:val="20"/>
        </w:rPr>
        <w:t xml:space="preserve"> milyar TL arası olan kredi kuruluşları için </w:t>
      </w:r>
      <w:proofErr w:type="spellStart"/>
      <w:r w:rsidRPr="00BA3092">
        <w:rPr>
          <w:rFonts w:ascii="Times New Roman" w:hAnsi="Times New Roman" w:cs="Times New Roman"/>
          <w:sz w:val="20"/>
          <w:szCs w:val="20"/>
        </w:rPr>
        <w:t>onbinde</w:t>
      </w:r>
      <w:proofErr w:type="spellEnd"/>
      <w:r w:rsidRPr="00BA3092">
        <w:rPr>
          <w:rFonts w:ascii="Times New Roman" w:hAnsi="Times New Roman" w:cs="Times New Roman"/>
          <w:sz w:val="20"/>
          <w:szCs w:val="20"/>
        </w:rPr>
        <w:t xml:space="preserve"> 1 (bir) prim oranı ilave edilerek sigorta prim oranı belirlenir. Büyüklük </w:t>
      </w:r>
      <w:proofErr w:type="spellStart"/>
      <w:r w:rsidRPr="00BA3092">
        <w:rPr>
          <w:rFonts w:ascii="Times New Roman" w:hAnsi="Times New Roman" w:cs="Times New Roman"/>
          <w:sz w:val="20"/>
          <w:szCs w:val="20"/>
        </w:rPr>
        <w:t>fakörü</w:t>
      </w:r>
      <w:proofErr w:type="spellEnd"/>
      <w:r w:rsidRPr="00BA3092">
        <w:rPr>
          <w:rFonts w:ascii="Times New Roman" w:hAnsi="Times New Roman" w:cs="Times New Roman"/>
          <w:sz w:val="20"/>
          <w:szCs w:val="20"/>
        </w:rPr>
        <w:t xml:space="preserve">; kredi kuruluşunun bilançosundaki aktif, </w:t>
      </w:r>
      <w:proofErr w:type="spellStart"/>
      <w:r w:rsidRPr="00BA3092">
        <w:rPr>
          <w:rFonts w:ascii="Times New Roman" w:hAnsi="Times New Roman" w:cs="Times New Roman"/>
          <w:sz w:val="20"/>
          <w:szCs w:val="20"/>
        </w:rPr>
        <w:t>gayrinakdi</w:t>
      </w:r>
      <w:proofErr w:type="spellEnd"/>
      <w:r w:rsidRPr="00BA3092">
        <w:rPr>
          <w:rFonts w:ascii="Times New Roman" w:hAnsi="Times New Roman" w:cs="Times New Roman"/>
          <w:sz w:val="20"/>
          <w:szCs w:val="20"/>
        </w:rPr>
        <w:t xml:space="preserve"> kredi ve yükümlülükler ile taahhütler (cayılabilir taahhütler hariç) toplamından oluşur. Söz konusu tutarlar, her yıl Türkiye İstatistik Kurumu tarafından </w:t>
      </w:r>
      <w:proofErr w:type="gramStart"/>
      <w:r w:rsidRPr="00BA3092">
        <w:rPr>
          <w:rStyle w:val="grame"/>
          <w:rFonts w:ascii="Times New Roman" w:hAnsi="Times New Roman" w:cs="Times New Roman"/>
          <w:sz w:val="20"/>
          <w:szCs w:val="20"/>
        </w:rPr>
        <w:t>yıl sonu</w:t>
      </w:r>
      <w:proofErr w:type="gramEnd"/>
      <w:r w:rsidRPr="00BA3092">
        <w:rPr>
          <w:rFonts w:ascii="Times New Roman" w:hAnsi="Times New Roman" w:cs="Times New Roman"/>
          <w:sz w:val="20"/>
          <w:szCs w:val="20"/>
        </w:rPr>
        <w:t xml:space="preserve"> itibariyle hesaplanan üretici fiyatları genel endeksinde meydana gelen ortalama fiyat artışı oranında artırılır.</w:t>
      </w:r>
    </w:p>
    <w:p w:rsidR="00BA3092" w:rsidRPr="00BA3092" w:rsidRDefault="00BA3092" w:rsidP="002D4B37">
      <w:pPr>
        <w:pStyle w:val="NormalWeb"/>
        <w:spacing w:before="0" w:beforeAutospacing="0" w:after="0" w:afterAutospacing="0" w:line="276" w:lineRule="auto"/>
        <w:rPr>
          <w:b/>
          <w:color w:val="auto"/>
          <w:sz w:val="20"/>
          <w:szCs w:val="20"/>
        </w:rPr>
      </w:pPr>
    </w:p>
    <w:sectPr w:rsidR="00BA3092" w:rsidRPr="00BA3092"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E62" w:rsidRDefault="00B76E62" w:rsidP="003A1052">
      <w:pPr>
        <w:spacing w:after="0" w:line="240" w:lineRule="auto"/>
      </w:pPr>
      <w:r>
        <w:separator/>
      </w:r>
    </w:p>
  </w:endnote>
  <w:endnote w:type="continuationSeparator" w:id="0">
    <w:p w:rsidR="00B76E62" w:rsidRDefault="00B76E6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E62" w:rsidRDefault="00B76E62" w:rsidP="003A1052">
      <w:pPr>
        <w:spacing w:after="0" w:line="240" w:lineRule="auto"/>
      </w:pPr>
      <w:r>
        <w:separator/>
      </w:r>
    </w:p>
  </w:footnote>
  <w:footnote w:type="continuationSeparator" w:id="0">
    <w:p w:rsidR="00B76E62" w:rsidRDefault="00B76E6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56351"/>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5272E"/>
    <w:rsid w:val="00160136"/>
    <w:rsid w:val="00164251"/>
    <w:rsid w:val="00175B14"/>
    <w:rsid w:val="00183A59"/>
    <w:rsid w:val="00185A3C"/>
    <w:rsid w:val="00191580"/>
    <w:rsid w:val="00191DFE"/>
    <w:rsid w:val="0019666D"/>
    <w:rsid w:val="001B4016"/>
    <w:rsid w:val="001B7BAB"/>
    <w:rsid w:val="001C25E5"/>
    <w:rsid w:val="001D6B85"/>
    <w:rsid w:val="001E4506"/>
    <w:rsid w:val="001F1EDF"/>
    <w:rsid w:val="00210C2B"/>
    <w:rsid w:val="002141CF"/>
    <w:rsid w:val="00221B09"/>
    <w:rsid w:val="0022477E"/>
    <w:rsid w:val="00242BB3"/>
    <w:rsid w:val="0026000D"/>
    <w:rsid w:val="00262291"/>
    <w:rsid w:val="002631CA"/>
    <w:rsid w:val="00273CA8"/>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828"/>
    <w:rsid w:val="0053249B"/>
    <w:rsid w:val="0053328B"/>
    <w:rsid w:val="0055094A"/>
    <w:rsid w:val="00551357"/>
    <w:rsid w:val="0057318F"/>
    <w:rsid w:val="005A5606"/>
    <w:rsid w:val="005A6ABE"/>
    <w:rsid w:val="005D3CD6"/>
    <w:rsid w:val="005E0983"/>
    <w:rsid w:val="005E5275"/>
    <w:rsid w:val="005E68DA"/>
    <w:rsid w:val="006077AA"/>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233C"/>
    <w:rsid w:val="007A5B45"/>
    <w:rsid w:val="007A614F"/>
    <w:rsid w:val="007B6BC2"/>
    <w:rsid w:val="007F0B4B"/>
    <w:rsid w:val="0080215F"/>
    <w:rsid w:val="00824BA1"/>
    <w:rsid w:val="00825713"/>
    <w:rsid w:val="00840B08"/>
    <w:rsid w:val="00841E88"/>
    <w:rsid w:val="00853C7D"/>
    <w:rsid w:val="00854231"/>
    <w:rsid w:val="00860109"/>
    <w:rsid w:val="00871C61"/>
    <w:rsid w:val="00885739"/>
    <w:rsid w:val="00895061"/>
    <w:rsid w:val="008961C8"/>
    <w:rsid w:val="008C2BB5"/>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7286A"/>
    <w:rsid w:val="00B76E62"/>
    <w:rsid w:val="00B83D4A"/>
    <w:rsid w:val="00B83F16"/>
    <w:rsid w:val="00BA3092"/>
    <w:rsid w:val="00BE395A"/>
    <w:rsid w:val="00C01829"/>
    <w:rsid w:val="00C2193F"/>
    <w:rsid w:val="00C25FDE"/>
    <w:rsid w:val="00C54042"/>
    <w:rsid w:val="00C67928"/>
    <w:rsid w:val="00C71342"/>
    <w:rsid w:val="00CA1B6D"/>
    <w:rsid w:val="00CB3FDE"/>
    <w:rsid w:val="00CC4493"/>
    <w:rsid w:val="00CE4354"/>
    <w:rsid w:val="00CE5D2E"/>
    <w:rsid w:val="00D241B1"/>
    <w:rsid w:val="00D31EC8"/>
    <w:rsid w:val="00D46F62"/>
    <w:rsid w:val="00DA3366"/>
    <w:rsid w:val="00DA77AC"/>
    <w:rsid w:val="00DD29D1"/>
    <w:rsid w:val="00DE5DFB"/>
    <w:rsid w:val="00DF17A9"/>
    <w:rsid w:val="00E01239"/>
    <w:rsid w:val="00E03CE4"/>
    <w:rsid w:val="00E05A61"/>
    <w:rsid w:val="00E11270"/>
    <w:rsid w:val="00E24DC4"/>
    <w:rsid w:val="00E54AB3"/>
    <w:rsid w:val="00E604D2"/>
    <w:rsid w:val="00E8213C"/>
    <w:rsid w:val="00EB2764"/>
    <w:rsid w:val="00EB5B90"/>
    <w:rsid w:val="00EB77CA"/>
    <w:rsid w:val="00EC1253"/>
    <w:rsid w:val="00ED10CC"/>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1031</Words>
  <Characters>5877</Characters>
  <Application>Microsoft Office Word</Application>
  <DocSecurity>0</DocSecurity>
  <Lines>48</Lines>
  <Paragraphs>13</Paragraphs>
  <ScaleCrop>false</ScaleCrop>
  <Company>TURMOB</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152</cp:revision>
  <dcterms:created xsi:type="dcterms:W3CDTF">2011-07-01T05:43:00Z</dcterms:created>
  <dcterms:modified xsi:type="dcterms:W3CDTF">2011-09-29T05:24:00Z</dcterms:modified>
</cp:coreProperties>
</file>