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833E05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833E05" w:rsidRDefault="00EC7DA1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833E05">
        <w:rPr>
          <w:b/>
          <w:color w:val="auto"/>
          <w:sz w:val="20"/>
          <w:szCs w:val="20"/>
          <w:u w:val="single"/>
        </w:rPr>
        <w:t>30</w:t>
      </w:r>
      <w:r w:rsidR="00E11270" w:rsidRPr="00833E05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833E05">
        <w:rPr>
          <w:b/>
          <w:color w:val="auto"/>
          <w:sz w:val="20"/>
          <w:szCs w:val="20"/>
          <w:u w:val="single"/>
        </w:rPr>
        <w:t xml:space="preserve"> </w:t>
      </w:r>
      <w:r w:rsidR="009F6B64" w:rsidRPr="00833E05">
        <w:rPr>
          <w:b/>
          <w:color w:val="auto"/>
          <w:sz w:val="20"/>
          <w:szCs w:val="20"/>
          <w:u w:val="single"/>
        </w:rPr>
        <w:t>2011 Tarih,</w:t>
      </w:r>
      <w:r w:rsidR="009F6B64" w:rsidRPr="00833E05">
        <w:rPr>
          <w:b/>
          <w:color w:val="auto"/>
          <w:sz w:val="20"/>
          <w:szCs w:val="20"/>
          <w:u w:val="single"/>
        </w:rPr>
        <w:tab/>
      </w:r>
      <w:r w:rsidR="009F6B64" w:rsidRPr="00833E05">
        <w:rPr>
          <w:b/>
          <w:color w:val="auto"/>
          <w:sz w:val="20"/>
          <w:szCs w:val="20"/>
          <w:u w:val="single"/>
        </w:rPr>
        <w:tab/>
      </w:r>
      <w:r w:rsidR="009F6B64" w:rsidRPr="00833E05">
        <w:rPr>
          <w:b/>
          <w:color w:val="auto"/>
          <w:sz w:val="20"/>
          <w:szCs w:val="20"/>
          <w:u w:val="single"/>
        </w:rPr>
        <w:tab/>
      </w:r>
      <w:r w:rsidR="009F6B64" w:rsidRPr="00833E05">
        <w:rPr>
          <w:b/>
          <w:color w:val="auto"/>
          <w:sz w:val="20"/>
          <w:szCs w:val="20"/>
          <w:u w:val="single"/>
        </w:rPr>
        <w:tab/>
      </w:r>
      <w:r w:rsidR="009F6B64" w:rsidRPr="00833E05">
        <w:rPr>
          <w:b/>
          <w:color w:val="auto"/>
          <w:sz w:val="20"/>
          <w:szCs w:val="20"/>
          <w:u w:val="single"/>
        </w:rPr>
        <w:tab/>
      </w:r>
      <w:r w:rsidR="009F6B64" w:rsidRPr="00833E05">
        <w:rPr>
          <w:b/>
          <w:color w:val="auto"/>
          <w:sz w:val="20"/>
          <w:szCs w:val="20"/>
          <w:u w:val="single"/>
        </w:rPr>
        <w:tab/>
      </w:r>
      <w:r w:rsidR="00127623" w:rsidRPr="00833E05">
        <w:rPr>
          <w:b/>
          <w:color w:val="auto"/>
          <w:sz w:val="20"/>
          <w:szCs w:val="20"/>
          <w:u w:val="single"/>
        </w:rPr>
        <w:tab/>
      </w:r>
      <w:r w:rsidR="00127623" w:rsidRPr="00833E05">
        <w:rPr>
          <w:b/>
          <w:color w:val="auto"/>
          <w:sz w:val="20"/>
          <w:szCs w:val="20"/>
          <w:u w:val="single"/>
        </w:rPr>
        <w:tab/>
      </w:r>
      <w:r w:rsidR="00A256DC" w:rsidRPr="00833E05">
        <w:rPr>
          <w:b/>
          <w:color w:val="auto"/>
          <w:sz w:val="20"/>
          <w:szCs w:val="20"/>
          <w:u w:val="single"/>
        </w:rPr>
        <w:tab/>
      </w:r>
      <w:r w:rsidR="00FF555D" w:rsidRPr="00833E05">
        <w:rPr>
          <w:b/>
          <w:color w:val="auto"/>
          <w:sz w:val="20"/>
          <w:szCs w:val="20"/>
          <w:u w:val="single"/>
        </w:rPr>
        <w:t>S</w:t>
      </w:r>
      <w:r w:rsidR="00487223" w:rsidRPr="00833E05">
        <w:rPr>
          <w:b/>
          <w:color w:val="auto"/>
          <w:sz w:val="20"/>
          <w:szCs w:val="20"/>
          <w:u w:val="single"/>
        </w:rPr>
        <w:t>ayı: 280</w:t>
      </w:r>
      <w:r w:rsidRPr="00833E05">
        <w:rPr>
          <w:b/>
          <w:color w:val="auto"/>
          <w:sz w:val="20"/>
          <w:szCs w:val="20"/>
          <w:u w:val="single"/>
        </w:rPr>
        <w:t>70</w:t>
      </w:r>
    </w:p>
    <w:p w:rsidR="00EC7DA1" w:rsidRPr="00833E05" w:rsidRDefault="00EC7DA1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833E05" w:rsidRPr="00833E05" w:rsidRDefault="00833E05" w:rsidP="00833E05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  <w:r w:rsidRPr="00833E05">
        <w:rPr>
          <w:sz w:val="20"/>
          <w:szCs w:val="20"/>
        </w:rPr>
        <w:t>Adalet Bakanlığından:</w:t>
      </w:r>
    </w:p>
    <w:p w:rsidR="00833E05" w:rsidRPr="00833E05" w:rsidRDefault="00833E05" w:rsidP="00833E05">
      <w:pPr>
        <w:pStyle w:val="2-ortabaslk"/>
        <w:spacing w:before="0" w:beforeAutospacing="0" w:after="0" w:afterAutospacing="0" w:line="276" w:lineRule="auto"/>
        <w:rPr>
          <w:sz w:val="20"/>
          <w:szCs w:val="20"/>
        </w:rPr>
      </w:pPr>
      <w:r w:rsidRPr="00833E05">
        <w:rPr>
          <w:sz w:val="20"/>
          <w:szCs w:val="20"/>
        </w:rPr>
        <w:t> </w:t>
      </w:r>
    </w:p>
    <w:p w:rsidR="00833E05" w:rsidRPr="00833E05" w:rsidRDefault="00833E05" w:rsidP="00833E05">
      <w:pPr>
        <w:pStyle w:val="2-ortabaslk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833E05">
        <w:rPr>
          <w:b/>
          <w:bCs/>
          <w:sz w:val="20"/>
          <w:szCs w:val="20"/>
        </w:rPr>
        <w:t>HUKUK MUHAKEMELERİ KANUNU BİLİRKİŞİ ÜCRET TARİFESİ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Amaç ve kapsam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MADDE 1 –</w:t>
      </w:r>
      <w:r w:rsidRPr="00833E05">
        <w:rPr>
          <w:rFonts w:ascii="Times New Roman" w:hAnsi="Times New Roman" w:cs="Times New Roman"/>
          <w:sz w:val="20"/>
          <w:szCs w:val="20"/>
        </w:rPr>
        <w:t xml:space="preserve"> (1) Bu Tarifenin amacı, Hukuk Muhakemeleri Kanunu gereğince bilirkişiye ödenecek ücret ve giderlerin miktarı ile bunların ödenmesine ilişkin usul ve esasları belirlemektir.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Dayanak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MADDE 2 –</w:t>
      </w:r>
      <w:r w:rsidRPr="00833E05">
        <w:rPr>
          <w:rFonts w:ascii="Times New Roman" w:hAnsi="Times New Roman" w:cs="Times New Roman"/>
          <w:sz w:val="20"/>
          <w:szCs w:val="20"/>
        </w:rPr>
        <w:t xml:space="preserve"> (1) Bu Tarife, Hukuk Muhakemeleri Kanununun 283 üncü maddesine dayanılarak hazırlanmıştır.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Bilirkişi ücreti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Style w:val="grame"/>
          <w:rFonts w:ascii="Times New Roman" w:hAnsi="Times New Roman" w:cs="Times New Roman"/>
          <w:b/>
          <w:sz w:val="20"/>
          <w:szCs w:val="20"/>
        </w:rPr>
        <w:t>MADDE 3</w:t>
      </w:r>
      <w:r w:rsidRPr="00833E05">
        <w:rPr>
          <w:rFonts w:ascii="Times New Roman" w:hAnsi="Times New Roman" w:cs="Times New Roman"/>
          <w:b/>
          <w:sz w:val="20"/>
          <w:szCs w:val="20"/>
        </w:rPr>
        <w:t>–</w:t>
      </w:r>
      <w:r w:rsidRPr="00833E05">
        <w:rPr>
          <w:rFonts w:ascii="Times New Roman" w:hAnsi="Times New Roman" w:cs="Times New Roman"/>
          <w:sz w:val="20"/>
          <w:szCs w:val="20"/>
        </w:rPr>
        <w:t xml:space="preserve"> (1) Bilirkişi ücreti, bilirkişiye sarf etmiş olduğu emek ve mesaisi karşılığı ödenen ücrettir. 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 xml:space="preserve">Giderler 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MADDE 4 –</w:t>
      </w:r>
      <w:r w:rsidRPr="00833E05">
        <w:rPr>
          <w:rFonts w:ascii="Times New Roman" w:hAnsi="Times New Roman" w:cs="Times New Roman"/>
          <w:sz w:val="20"/>
          <w:szCs w:val="20"/>
        </w:rPr>
        <w:t xml:space="preserve"> (1) Bilirkişiye inceleme, ulaşım, konaklama ve diğer giderleri de ödenir.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Bilirkişi ücretleri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MADDE 5 –</w:t>
      </w:r>
      <w:r w:rsidRPr="00833E05">
        <w:rPr>
          <w:rFonts w:ascii="Times New Roman" w:hAnsi="Times New Roman" w:cs="Times New Roman"/>
          <w:sz w:val="20"/>
          <w:szCs w:val="20"/>
        </w:rPr>
        <w:t xml:space="preserve"> (1) Bu Tarifeye göre verilecek bilirkişi ücretleri aşağıda gösterilmiştir.</w:t>
      </w:r>
    </w:p>
    <w:p w:rsidR="00833E05" w:rsidRPr="00833E05" w:rsidRDefault="00833E05" w:rsidP="00833E05">
      <w:pPr>
        <w:pStyle w:val="3-normalyaz"/>
        <w:spacing w:before="0" w:beforeAutospacing="0" w:after="0" w:afterAutospacing="0" w:line="276" w:lineRule="auto"/>
        <w:rPr>
          <w:sz w:val="20"/>
          <w:szCs w:val="20"/>
        </w:rPr>
      </w:pPr>
      <w:r w:rsidRPr="00833E05">
        <w:rPr>
          <w:sz w:val="20"/>
          <w:szCs w:val="20"/>
        </w:rPr>
        <w:t> </w:t>
      </w:r>
    </w:p>
    <w:p w:rsidR="00833E05" w:rsidRPr="00833E05" w:rsidRDefault="00833E05" w:rsidP="00833E05">
      <w:pPr>
        <w:pStyle w:val="3-normalyaz"/>
        <w:spacing w:before="0" w:beforeAutospacing="0" w:after="0" w:afterAutospacing="0" w:line="276" w:lineRule="auto"/>
        <w:rPr>
          <w:sz w:val="20"/>
          <w:szCs w:val="20"/>
        </w:rPr>
      </w:pPr>
      <w:r w:rsidRPr="00833E05">
        <w:rPr>
          <w:sz w:val="20"/>
          <w:szCs w:val="20"/>
        </w:rPr>
        <w:t> </w:t>
      </w:r>
    </w:p>
    <w:tbl>
      <w:tblPr>
        <w:tblW w:w="8068" w:type="dxa"/>
        <w:jc w:val="center"/>
        <w:tblInd w:w="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78"/>
        <w:gridCol w:w="1690"/>
      </w:tblGrid>
      <w:tr w:rsidR="00833E05" w:rsidRPr="00833E05">
        <w:trPr>
          <w:trHeight w:val="375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sz w:val="20"/>
                <w:szCs w:val="20"/>
              </w:rPr>
              <w:t>a)</w:t>
            </w:r>
            <w:r w:rsidRPr="00833E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33E05">
              <w:rPr>
                <w:rFonts w:ascii="Times New Roman" w:hAnsi="Times New Roman" w:cs="Times New Roman"/>
                <w:sz w:val="20"/>
                <w:szCs w:val="20"/>
              </w:rPr>
              <w:t xml:space="preserve">Sulh hukuk mahkemelerinde görülen dava ve işler için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b/>
                <w:sz w:val="20"/>
                <w:szCs w:val="20"/>
              </w:rPr>
              <w:t>150,00 TL.</w:t>
            </w:r>
          </w:p>
        </w:tc>
      </w:tr>
      <w:tr w:rsidR="00833E05" w:rsidRPr="00833E05">
        <w:trPr>
          <w:trHeight w:val="375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sz w:val="20"/>
                <w:szCs w:val="20"/>
              </w:rPr>
              <w:t xml:space="preserve">b) İcra hukuk mahkemelerinde görülen dava ve işler için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150,00 TL</w:t>
            </w:r>
          </w:p>
        </w:tc>
      </w:tr>
      <w:tr w:rsidR="00833E05" w:rsidRPr="00833E05">
        <w:trPr>
          <w:trHeight w:val="375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sz w:val="20"/>
                <w:szCs w:val="20"/>
              </w:rPr>
              <w:t>c) Asliye hukuk mahkemelerinde görülen dava ve işler için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250,00 TL</w:t>
            </w:r>
          </w:p>
        </w:tc>
      </w:tr>
      <w:tr w:rsidR="00833E05" w:rsidRPr="00833E05">
        <w:trPr>
          <w:trHeight w:val="375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sz w:val="20"/>
                <w:szCs w:val="20"/>
              </w:rPr>
              <w:t>ç) Aile mahkemelerinde görülen dava ve işler için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 TL</w:t>
            </w:r>
          </w:p>
        </w:tc>
      </w:tr>
      <w:tr w:rsidR="00833E05" w:rsidRPr="00833E05">
        <w:trPr>
          <w:trHeight w:val="375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d) İş mahkemelerinde görülen dava ve işler için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 TL</w:t>
            </w:r>
          </w:p>
        </w:tc>
      </w:tr>
      <w:tr w:rsidR="00833E05" w:rsidRPr="00833E05">
        <w:trPr>
          <w:trHeight w:val="375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sz w:val="20"/>
                <w:szCs w:val="20"/>
              </w:rPr>
              <w:t>e) Kadastro mahkemelerinde görülen dava ve işler için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200,00 TL</w:t>
            </w:r>
          </w:p>
        </w:tc>
      </w:tr>
      <w:tr w:rsidR="00833E05" w:rsidRPr="00833E05">
        <w:trPr>
          <w:trHeight w:val="375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sz w:val="20"/>
                <w:szCs w:val="20"/>
              </w:rPr>
              <w:t>f) Tüketici mahkemelerinde görülen dava ve işler için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150,00 TL</w:t>
            </w:r>
          </w:p>
        </w:tc>
      </w:tr>
      <w:tr w:rsidR="00833E05" w:rsidRPr="00833E05">
        <w:trPr>
          <w:trHeight w:val="375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sz w:val="20"/>
                <w:szCs w:val="20"/>
              </w:rPr>
              <w:t xml:space="preserve">g) Fikri ve </w:t>
            </w:r>
            <w:proofErr w:type="gramStart"/>
            <w:r w:rsidRPr="00833E05">
              <w:rPr>
                <w:rStyle w:val="grame"/>
                <w:rFonts w:ascii="Times New Roman" w:hAnsi="Times New Roman" w:cs="Times New Roman"/>
                <w:sz w:val="20"/>
                <w:szCs w:val="20"/>
              </w:rPr>
              <w:t>sınai</w:t>
            </w:r>
            <w:proofErr w:type="gramEnd"/>
            <w:r w:rsidRPr="00833E05">
              <w:rPr>
                <w:rFonts w:ascii="Times New Roman" w:hAnsi="Times New Roman" w:cs="Times New Roman"/>
                <w:sz w:val="20"/>
                <w:szCs w:val="20"/>
              </w:rPr>
              <w:t xml:space="preserve"> haklar hukuk mahkemelerinde görülen dava ve işler için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 TL</w:t>
            </w:r>
          </w:p>
        </w:tc>
      </w:tr>
      <w:tr w:rsidR="00833E05" w:rsidRPr="00833E05">
        <w:trPr>
          <w:trHeight w:val="375"/>
          <w:jc w:val="center"/>
        </w:trPr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sz w:val="20"/>
                <w:szCs w:val="20"/>
              </w:rPr>
              <w:t>h) Asliye ticaret ve denizcilik ihtisas mahkemelerinde görülen dava ve işler için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E05" w:rsidRPr="00833E05" w:rsidRDefault="00833E05">
            <w:pPr>
              <w:tabs>
                <w:tab w:val="left" w:pos="566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33E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300,00 TL.</w:t>
            </w:r>
          </w:p>
        </w:tc>
      </w:tr>
    </w:tbl>
    <w:p w:rsidR="00833E05" w:rsidRPr="00833E05" w:rsidRDefault="00833E05" w:rsidP="00833E05">
      <w:pPr>
        <w:pStyle w:val="3-normalyaz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833E05">
        <w:rPr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(2) Dava, mahkemece hangi sıfatla görülüyorsa bilirkişi ücreti de buna göre belirlenir.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Bölge adliye mahkemeleri hukuk dairelerinde ücret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MADDE 6 –</w:t>
      </w:r>
      <w:r w:rsidRPr="00833E05">
        <w:rPr>
          <w:rFonts w:ascii="Times New Roman" w:hAnsi="Times New Roman" w:cs="Times New Roman"/>
          <w:sz w:val="20"/>
          <w:szCs w:val="20"/>
        </w:rPr>
        <w:t xml:space="preserve"> (1) Bölge adliye mahkemeleri hukuk dairelerinde, görülmekte olan davanın türüne göre ait olduğu mahkemeye ait bilirkişi ücreti ödenir.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Tarifede belirtilen ücretlerin azaltılması ve artırılması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MADDE 7 –</w:t>
      </w:r>
      <w:r w:rsidRPr="00833E05">
        <w:rPr>
          <w:rFonts w:ascii="Times New Roman" w:hAnsi="Times New Roman" w:cs="Times New Roman"/>
          <w:sz w:val="20"/>
          <w:szCs w:val="20"/>
        </w:rPr>
        <w:t xml:space="preserve"> (1) Hâkim, işin mahiyetine göre bu Tarifede yazılı bilirkişi ücretlerini artırabilir ve indirebilir.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 xml:space="preserve">Seri dosyalarda bilirkişi ücreti 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MADDE 8 –</w:t>
      </w:r>
      <w:r w:rsidRPr="00833E05">
        <w:rPr>
          <w:rFonts w:ascii="Times New Roman" w:hAnsi="Times New Roman" w:cs="Times New Roman"/>
          <w:sz w:val="20"/>
          <w:szCs w:val="20"/>
        </w:rPr>
        <w:t xml:space="preserve"> (1) Ayrı bir inceleme ve araştırmayı gerektirmeyen seri dosyalarda bu Tarifede yazılı bilirkişi ücretlerinde indirim yapılır.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Ücretin ödenmesi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MADDE 9 –</w:t>
      </w:r>
      <w:r w:rsidRPr="00833E05">
        <w:rPr>
          <w:rFonts w:ascii="Times New Roman" w:hAnsi="Times New Roman" w:cs="Times New Roman"/>
          <w:sz w:val="20"/>
          <w:szCs w:val="20"/>
        </w:rPr>
        <w:t xml:space="preserve"> (1) Yazı işleri müdürü veya görevli personel tarafından bilirkişi ücretinden gerekli vergiler kesildikten sonra kalanı bilirkişiye ödenir.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Uygulanacak tarife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MADDE 10 –</w:t>
      </w:r>
      <w:r w:rsidRPr="00833E05">
        <w:rPr>
          <w:rFonts w:ascii="Times New Roman" w:hAnsi="Times New Roman" w:cs="Times New Roman"/>
          <w:sz w:val="20"/>
          <w:szCs w:val="20"/>
        </w:rPr>
        <w:t xml:space="preserve"> (1) Bilirkişi ücretinin tayininde mahkemece görevlendirmenin yapıldığı tarihte yürürlükte bulunan tarife esas alınır.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lastRenderedPageBreak/>
        <w:t>Yürürlük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sz w:val="20"/>
          <w:szCs w:val="20"/>
        </w:rPr>
        <w:t> </w:t>
      </w:r>
    </w:p>
    <w:p w:rsidR="00833E05" w:rsidRPr="00833E05" w:rsidRDefault="00833E05" w:rsidP="00833E05">
      <w:pPr>
        <w:jc w:val="both"/>
        <w:rPr>
          <w:rFonts w:ascii="Times New Roman" w:hAnsi="Times New Roman" w:cs="Times New Roman"/>
          <w:sz w:val="20"/>
          <w:szCs w:val="20"/>
        </w:rPr>
      </w:pPr>
      <w:r w:rsidRPr="00833E05">
        <w:rPr>
          <w:rFonts w:ascii="Times New Roman" w:hAnsi="Times New Roman" w:cs="Times New Roman"/>
          <w:b/>
          <w:sz w:val="20"/>
          <w:szCs w:val="20"/>
        </w:rPr>
        <w:t>MADDE 11 –</w:t>
      </w:r>
      <w:r w:rsidRPr="00833E05">
        <w:rPr>
          <w:rFonts w:ascii="Times New Roman" w:hAnsi="Times New Roman" w:cs="Times New Roman"/>
          <w:sz w:val="20"/>
          <w:szCs w:val="20"/>
        </w:rPr>
        <w:t xml:space="preserve"> (1) Bu Tarife 1 Ekim 2011 tarihinde yürürlüğe girer.</w:t>
      </w:r>
    </w:p>
    <w:p w:rsidR="00833E05" w:rsidRPr="00833E05" w:rsidRDefault="00833E05" w:rsidP="00EC7DA1">
      <w:pPr>
        <w:tabs>
          <w:tab w:val="left" w:pos="566"/>
        </w:tabs>
        <w:spacing w:after="0" w:line="240" w:lineRule="exact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sectPr w:rsidR="00833E05" w:rsidRPr="00833E0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241" w:rsidRDefault="00E01241" w:rsidP="003A1052">
      <w:pPr>
        <w:spacing w:after="0" w:line="240" w:lineRule="auto"/>
      </w:pPr>
      <w:r>
        <w:separator/>
      </w:r>
    </w:p>
  </w:endnote>
  <w:endnote w:type="continuationSeparator" w:id="0">
    <w:p w:rsidR="00E01241" w:rsidRDefault="00E01241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241" w:rsidRDefault="00E01241" w:rsidP="003A1052">
      <w:pPr>
        <w:spacing w:after="0" w:line="240" w:lineRule="auto"/>
      </w:pPr>
      <w:r>
        <w:separator/>
      </w:r>
    </w:p>
  </w:footnote>
  <w:footnote w:type="continuationSeparator" w:id="0">
    <w:p w:rsidR="00E01241" w:rsidRDefault="00E01241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56351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378EB"/>
    <w:rsid w:val="0015272E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C25E5"/>
    <w:rsid w:val="001D6B85"/>
    <w:rsid w:val="001E4506"/>
    <w:rsid w:val="001F1EDF"/>
    <w:rsid w:val="00210C2B"/>
    <w:rsid w:val="002141CF"/>
    <w:rsid w:val="00221B09"/>
    <w:rsid w:val="0022477E"/>
    <w:rsid w:val="00242BB3"/>
    <w:rsid w:val="0026000D"/>
    <w:rsid w:val="00262291"/>
    <w:rsid w:val="002631CA"/>
    <w:rsid w:val="00273CA8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077B7"/>
    <w:rsid w:val="00316B9E"/>
    <w:rsid w:val="003817A3"/>
    <w:rsid w:val="00387118"/>
    <w:rsid w:val="003A1052"/>
    <w:rsid w:val="003A43C1"/>
    <w:rsid w:val="003D5023"/>
    <w:rsid w:val="003E7E22"/>
    <w:rsid w:val="004114C2"/>
    <w:rsid w:val="004258BF"/>
    <w:rsid w:val="00425FF3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462"/>
    <w:rsid w:val="00531828"/>
    <w:rsid w:val="0053249B"/>
    <w:rsid w:val="0053328B"/>
    <w:rsid w:val="0055094A"/>
    <w:rsid w:val="00551357"/>
    <w:rsid w:val="0057318F"/>
    <w:rsid w:val="005A5606"/>
    <w:rsid w:val="005A6ABE"/>
    <w:rsid w:val="005D3CD6"/>
    <w:rsid w:val="005E0983"/>
    <w:rsid w:val="005E5275"/>
    <w:rsid w:val="005E68DA"/>
    <w:rsid w:val="006077AA"/>
    <w:rsid w:val="00623CBF"/>
    <w:rsid w:val="00627628"/>
    <w:rsid w:val="00642DC9"/>
    <w:rsid w:val="006437D1"/>
    <w:rsid w:val="0064395E"/>
    <w:rsid w:val="006864B7"/>
    <w:rsid w:val="0068655A"/>
    <w:rsid w:val="00687BCB"/>
    <w:rsid w:val="006938DD"/>
    <w:rsid w:val="006B16F2"/>
    <w:rsid w:val="006C2D9D"/>
    <w:rsid w:val="006D754C"/>
    <w:rsid w:val="006E5E29"/>
    <w:rsid w:val="00741B89"/>
    <w:rsid w:val="00762C8F"/>
    <w:rsid w:val="00764A2F"/>
    <w:rsid w:val="0077547F"/>
    <w:rsid w:val="00796882"/>
    <w:rsid w:val="007A233C"/>
    <w:rsid w:val="007A5B45"/>
    <w:rsid w:val="007A614F"/>
    <w:rsid w:val="007B6BC2"/>
    <w:rsid w:val="007F0B4B"/>
    <w:rsid w:val="0080215F"/>
    <w:rsid w:val="00824BA1"/>
    <w:rsid w:val="00825713"/>
    <w:rsid w:val="00833E05"/>
    <w:rsid w:val="00840B08"/>
    <w:rsid w:val="00841E88"/>
    <w:rsid w:val="00853C7D"/>
    <w:rsid w:val="00854231"/>
    <w:rsid w:val="00860109"/>
    <w:rsid w:val="00871C61"/>
    <w:rsid w:val="00885739"/>
    <w:rsid w:val="00895061"/>
    <w:rsid w:val="008961C8"/>
    <w:rsid w:val="008C2BB5"/>
    <w:rsid w:val="008C3907"/>
    <w:rsid w:val="008C5952"/>
    <w:rsid w:val="008E1E88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C42AB"/>
    <w:rsid w:val="00AF5538"/>
    <w:rsid w:val="00AF5CA9"/>
    <w:rsid w:val="00B00A87"/>
    <w:rsid w:val="00B7286A"/>
    <w:rsid w:val="00B76E62"/>
    <w:rsid w:val="00B83D4A"/>
    <w:rsid w:val="00B83F16"/>
    <w:rsid w:val="00BA3092"/>
    <w:rsid w:val="00BE17BD"/>
    <w:rsid w:val="00BE395A"/>
    <w:rsid w:val="00C01829"/>
    <w:rsid w:val="00C2193F"/>
    <w:rsid w:val="00C25FDE"/>
    <w:rsid w:val="00C54042"/>
    <w:rsid w:val="00C54580"/>
    <w:rsid w:val="00C67928"/>
    <w:rsid w:val="00C71342"/>
    <w:rsid w:val="00CA1B6D"/>
    <w:rsid w:val="00CB3FDE"/>
    <w:rsid w:val="00CC4493"/>
    <w:rsid w:val="00CE4354"/>
    <w:rsid w:val="00CE5D2E"/>
    <w:rsid w:val="00CF42F0"/>
    <w:rsid w:val="00D241B1"/>
    <w:rsid w:val="00D31EC8"/>
    <w:rsid w:val="00D46F62"/>
    <w:rsid w:val="00DA3366"/>
    <w:rsid w:val="00DA77AC"/>
    <w:rsid w:val="00DD29D1"/>
    <w:rsid w:val="00DE5DFB"/>
    <w:rsid w:val="00DF17A9"/>
    <w:rsid w:val="00E01239"/>
    <w:rsid w:val="00E01241"/>
    <w:rsid w:val="00E03CE4"/>
    <w:rsid w:val="00E05A61"/>
    <w:rsid w:val="00E11270"/>
    <w:rsid w:val="00E24DC4"/>
    <w:rsid w:val="00E27E35"/>
    <w:rsid w:val="00E54AB3"/>
    <w:rsid w:val="00E604D2"/>
    <w:rsid w:val="00E8213C"/>
    <w:rsid w:val="00EB2764"/>
    <w:rsid w:val="00EB5B90"/>
    <w:rsid w:val="00EB77CA"/>
    <w:rsid w:val="00EC1253"/>
    <w:rsid w:val="00EC7DA1"/>
    <w:rsid w:val="00ED10CC"/>
    <w:rsid w:val="00ED29F6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01ED"/>
    <w:rsid w:val="00FA56A9"/>
    <w:rsid w:val="00FB74ED"/>
    <w:rsid w:val="00FC18B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  <w:style w:type="paragraph" w:customStyle="1" w:styleId="2-OrtaBaslk0">
    <w:name w:val="2-Orta Baslık"/>
    <w:rsid w:val="00AC42A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258B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AltKonuBal">
    <w:name w:val="Subtitle"/>
    <w:basedOn w:val="Normal"/>
    <w:link w:val="AltKonuBalChar"/>
    <w:uiPriority w:val="11"/>
    <w:qFormat/>
    <w:rsid w:val="005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5094A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EC1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364</Words>
  <Characters>2076</Characters>
  <Application>Microsoft Office Word</Application>
  <DocSecurity>0</DocSecurity>
  <Lines>17</Lines>
  <Paragraphs>4</Paragraphs>
  <ScaleCrop>false</ScaleCrop>
  <Company>TURMOB</Company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160</cp:revision>
  <dcterms:created xsi:type="dcterms:W3CDTF">2011-07-01T05:43:00Z</dcterms:created>
  <dcterms:modified xsi:type="dcterms:W3CDTF">2011-09-30T05:25:00Z</dcterms:modified>
</cp:coreProperties>
</file>