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E27917" w:rsidRDefault="009F6B64">
      <w:pPr>
        <w:rPr>
          <w:rFonts w:ascii="Times New Roman" w:hAnsi="Times New Roman" w:cs="Times New Roman"/>
          <w:sz w:val="20"/>
          <w:szCs w:val="20"/>
        </w:rPr>
      </w:pPr>
    </w:p>
    <w:p w:rsidR="00A256DC" w:rsidRPr="00E27917" w:rsidRDefault="00EC7DA1" w:rsidP="00A256DC">
      <w:pPr>
        <w:pStyle w:val="NormalWeb"/>
        <w:spacing w:before="0" w:beforeAutospacing="0" w:after="0" w:afterAutospacing="0" w:line="276" w:lineRule="auto"/>
        <w:rPr>
          <w:b/>
          <w:color w:val="auto"/>
          <w:sz w:val="20"/>
          <w:szCs w:val="20"/>
          <w:u w:val="single"/>
        </w:rPr>
      </w:pPr>
      <w:r w:rsidRPr="00E27917">
        <w:rPr>
          <w:b/>
          <w:color w:val="auto"/>
          <w:sz w:val="20"/>
          <w:szCs w:val="20"/>
          <w:u w:val="single"/>
        </w:rPr>
        <w:t>30</w:t>
      </w:r>
      <w:r w:rsidR="00E11270" w:rsidRPr="00E27917">
        <w:rPr>
          <w:b/>
          <w:color w:val="auto"/>
          <w:sz w:val="20"/>
          <w:szCs w:val="20"/>
          <w:u w:val="single"/>
        </w:rPr>
        <w:t xml:space="preserve"> Eylül</w:t>
      </w:r>
      <w:r w:rsidR="004114C2" w:rsidRPr="00E27917">
        <w:rPr>
          <w:b/>
          <w:color w:val="auto"/>
          <w:sz w:val="20"/>
          <w:szCs w:val="20"/>
          <w:u w:val="single"/>
        </w:rPr>
        <w:t xml:space="preserve"> </w:t>
      </w:r>
      <w:r w:rsidR="009F6B64" w:rsidRPr="00E27917">
        <w:rPr>
          <w:b/>
          <w:color w:val="auto"/>
          <w:sz w:val="20"/>
          <w:szCs w:val="20"/>
          <w:u w:val="single"/>
        </w:rPr>
        <w:t>2011 Tarih,</w:t>
      </w:r>
      <w:r w:rsidR="009F6B64" w:rsidRPr="00E27917">
        <w:rPr>
          <w:b/>
          <w:color w:val="auto"/>
          <w:sz w:val="20"/>
          <w:szCs w:val="20"/>
          <w:u w:val="single"/>
        </w:rPr>
        <w:tab/>
      </w:r>
      <w:r w:rsidR="009F6B64" w:rsidRPr="00E27917">
        <w:rPr>
          <w:b/>
          <w:color w:val="auto"/>
          <w:sz w:val="20"/>
          <w:szCs w:val="20"/>
          <w:u w:val="single"/>
        </w:rPr>
        <w:tab/>
      </w:r>
      <w:r w:rsidR="009F6B64" w:rsidRPr="00E27917">
        <w:rPr>
          <w:b/>
          <w:color w:val="auto"/>
          <w:sz w:val="20"/>
          <w:szCs w:val="20"/>
          <w:u w:val="single"/>
        </w:rPr>
        <w:tab/>
      </w:r>
      <w:r w:rsidR="009F6B64" w:rsidRPr="00E27917">
        <w:rPr>
          <w:b/>
          <w:color w:val="auto"/>
          <w:sz w:val="20"/>
          <w:szCs w:val="20"/>
          <w:u w:val="single"/>
        </w:rPr>
        <w:tab/>
      </w:r>
      <w:r w:rsidR="009F6B64" w:rsidRPr="00E27917">
        <w:rPr>
          <w:b/>
          <w:color w:val="auto"/>
          <w:sz w:val="20"/>
          <w:szCs w:val="20"/>
          <w:u w:val="single"/>
        </w:rPr>
        <w:tab/>
      </w:r>
      <w:r w:rsidR="009F6B64" w:rsidRPr="00E27917">
        <w:rPr>
          <w:b/>
          <w:color w:val="auto"/>
          <w:sz w:val="20"/>
          <w:szCs w:val="20"/>
          <w:u w:val="single"/>
        </w:rPr>
        <w:tab/>
      </w:r>
      <w:r w:rsidR="00127623" w:rsidRPr="00E27917">
        <w:rPr>
          <w:b/>
          <w:color w:val="auto"/>
          <w:sz w:val="20"/>
          <w:szCs w:val="20"/>
          <w:u w:val="single"/>
        </w:rPr>
        <w:tab/>
      </w:r>
      <w:r w:rsidR="00127623" w:rsidRPr="00E27917">
        <w:rPr>
          <w:b/>
          <w:color w:val="auto"/>
          <w:sz w:val="20"/>
          <w:szCs w:val="20"/>
          <w:u w:val="single"/>
        </w:rPr>
        <w:tab/>
      </w:r>
      <w:r w:rsidR="00A256DC" w:rsidRPr="00E27917">
        <w:rPr>
          <w:b/>
          <w:color w:val="auto"/>
          <w:sz w:val="20"/>
          <w:szCs w:val="20"/>
          <w:u w:val="single"/>
        </w:rPr>
        <w:tab/>
      </w:r>
      <w:r w:rsidR="00FF555D" w:rsidRPr="00E27917">
        <w:rPr>
          <w:b/>
          <w:color w:val="auto"/>
          <w:sz w:val="20"/>
          <w:szCs w:val="20"/>
          <w:u w:val="single"/>
        </w:rPr>
        <w:t>S</w:t>
      </w:r>
      <w:r w:rsidR="00487223" w:rsidRPr="00E27917">
        <w:rPr>
          <w:b/>
          <w:color w:val="auto"/>
          <w:sz w:val="20"/>
          <w:szCs w:val="20"/>
          <w:u w:val="single"/>
        </w:rPr>
        <w:t>ayı: 280</w:t>
      </w:r>
      <w:r w:rsidRPr="00E27917">
        <w:rPr>
          <w:b/>
          <w:color w:val="auto"/>
          <w:sz w:val="20"/>
          <w:szCs w:val="20"/>
          <w:u w:val="single"/>
        </w:rPr>
        <w:t>70</w:t>
      </w:r>
    </w:p>
    <w:p w:rsidR="00EC7DA1" w:rsidRPr="00E27917" w:rsidRDefault="00EC7DA1" w:rsidP="00EC7DA1">
      <w:pPr>
        <w:tabs>
          <w:tab w:val="left" w:pos="566"/>
        </w:tabs>
        <w:spacing w:after="0" w:line="240" w:lineRule="exact"/>
        <w:rPr>
          <w:rFonts w:ascii="Times New Roman" w:eastAsia="ヒラギノ明朝 Pro W3" w:hAnsi="Times New Roman" w:cs="Times New Roman"/>
          <w:sz w:val="20"/>
          <w:szCs w:val="20"/>
          <w:u w:val="single"/>
        </w:rPr>
      </w:pPr>
    </w:p>
    <w:p w:rsidR="00E27917" w:rsidRPr="00E27917" w:rsidRDefault="00E27917" w:rsidP="00E27917">
      <w:pPr>
        <w:pStyle w:val="NormalWeb"/>
        <w:spacing w:before="0" w:beforeAutospacing="0" w:after="0" w:afterAutospacing="0" w:line="276" w:lineRule="auto"/>
        <w:rPr>
          <w:sz w:val="20"/>
          <w:szCs w:val="20"/>
        </w:rPr>
      </w:pPr>
      <w:r w:rsidRPr="00E27917">
        <w:rPr>
          <w:sz w:val="20"/>
          <w:szCs w:val="20"/>
        </w:rPr>
        <w:t>Adalet Bakanlığından:</w:t>
      </w:r>
    </w:p>
    <w:p w:rsidR="00E27917" w:rsidRPr="00E27917" w:rsidRDefault="00E27917" w:rsidP="00E27917">
      <w:pPr>
        <w:pStyle w:val="2-ortabaslk"/>
        <w:spacing w:before="0" w:beforeAutospacing="0" w:after="0" w:afterAutospacing="0" w:line="276" w:lineRule="auto"/>
        <w:rPr>
          <w:sz w:val="20"/>
          <w:szCs w:val="20"/>
        </w:rPr>
      </w:pPr>
      <w:r w:rsidRPr="00E27917">
        <w:rPr>
          <w:sz w:val="20"/>
          <w:szCs w:val="20"/>
        </w:rPr>
        <w:t> </w:t>
      </w:r>
    </w:p>
    <w:p w:rsidR="00E27917" w:rsidRPr="00E27917" w:rsidRDefault="00E27917" w:rsidP="00E27917">
      <w:pPr>
        <w:pStyle w:val="2-ortabaslk"/>
        <w:spacing w:before="0" w:beforeAutospacing="0" w:after="0" w:afterAutospacing="0" w:line="276" w:lineRule="auto"/>
        <w:jc w:val="center"/>
        <w:rPr>
          <w:sz w:val="20"/>
          <w:szCs w:val="20"/>
        </w:rPr>
      </w:pPr>
      <w:r w:rsidRPr="00E27917">
        <w:rPr>
          <w:b/>
          <w:bCs/>
          <w:sz w:val="20"/>
          <w:szCs w:val="20"/>
        </w:rPr>
        <w:t>HUKUK MUHAKEMELERİ KANUNU HAKEM ÜCRET TARİFESİ</w:t>
      </w:r>
    </w:p>
    <w:p w:rsidR="00E27917" w:rsidRPr="00E27917" w:rsidRDefault="00E27917" w:rsidP="00E27917">
      <w:pPr>
        <w:pStyle w:val="3-normalyaz"/>
        <w:spacing w:before="0" w:beforeAutospacing="0" w:after="0" w:afterAutospacing="0" w:line="276" w:lineRule="auto"/>
        <w:rPr>
          <w:sz w:val="20"/>
          <w:szCs w:val="20"/>
        </w:rPr>
      </w:pPr>
      <w:r w:rsidRPr="00E27917">
        <w:rPr>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t>Amaç ve kapsam</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proofErr w:type="gramStart"/>
      <w:r w:rsidRPr="00E27917">
        <w:rPr>
          <w:rStyle w:val="grame"/>
          <w:rFonts w:ascii="Times New Roman" w:hAnsi="Times New Roman" w:cs="Times New Roman"/>
          <w:b/>
          <w:sz w:val="20"/>
          <w:szCs w:val="20"/>
        </w:rPr>
        <w:t>MADDE 1 –</w:t>
      </w:r>
      <w:r w:rsidRPr="00E27917">
        <w:rPr>
          <w:rStyle w:val="grame"/>
          <w:rFonts w:ascii="Times New Roman" w:hAnsi="Times New Roman" w:cs="Times New Roman"/>
          <w:sz w:val="20"/>
          <w:szCs w:val="20"/>
        </w:rPr>
        <w:t xml:space="preserve"> (1) Bu Tarifenin amacı, Hukuk </w:t>
      </w:r>
      <w:proofErr w:type="spellStart"/>
      <w:r w:rsidRPr="00E27917">
        <w:rPr>
          <w:rStyle w:val="grame"/>
          <w:rFonts w:ascii="Times New Roman" w:hAnsi="Times New Roman" w:cs="Times New Roman"/>
          <w:sz w:val="20"/>
          <w:szCs w:val="20"/>
        </w:rPr>
        <w:t>Muhakemleri</w:t>
      </w:r>
      <w:proofErr w:type="spellEnd"/>
      <w:r w:rsidRPr="00E27917">
        <w:rPr>
          <w:rStyle w:val="grame"/>
          <w:rFonts w:ascii="Times New Roman" w:hAnsi="Times New Roman" w:cs="Times New Roman"/>
          <w:sz w:val="20"/>
          <w:szCs w:val="20"/>
        </w:rPr>
        <w:t xml:space="preserve"> Kanununa göre tahkim yoluyla görülen dava ve işlerde, taraflarla hakem veya hakem kurulları arasında ücretin belirlenmesi konusunda anlaşmaya varılamaması veya tahkim anlaşmasında bir hüküm bulunmaması ya da taraflarca bu konuda yerleşmiş kurallara veya kurumsal tahkim kurallarına yollama yapılmaması hallerinde hakem veya hakem kuruluna ödenecek ücretin miktarı ile ödenmesine ilişkin usul ve esasları belirlemektir.</w:t>
      </w:r>
      <w:proofErr w:type="gramEnd"/>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t>Dayanak</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t>MADDE 2 –</w:t>
      </w:r>
      <w:r w:rsidRPr="00E27917">
        <w:rPr>
          <w:rFonts w:ascii="Times New Roman" w:hAnsi="Times New Roman" w:cs="Times New Roman"/>
          <w:sz w:val="20"/>
          <w:szCs w:val="20"/>
        </w:rPr>
        <w:t xml:space="preserve"> (1) Bu Tarife, Hukuk Muhakemeleri Kanununun 440 </w:t>
      </w:r>
      <w:proofErr w:type="spellStart"/>
      <w:r w:rsidRPr="00E27917">
        <w:rPr>
          <w:rStyle w:val="spelle"/>
          <w:rFonts w:ascii="Times New Roman" w:hAnsi="Times New Roman" w:cs="Times New Roman"/>
          <w:sz w:val="20"/>
          <w:szCs w:val="20"/>
        </w:rPr>
        <w:t>ıncı</w:t>
      </w:r>
      <w:proofErr w:type="spellEnd"/>
      <w:r w:rsidRPr="00E27917">
        <w:rPr>
          <w:rFonts w:ascii="Times New Roman" w:hAnsi="Times New Roman" w:cs="Times New Roman"/>
          <w:sz w:val="20"/>
          <w:szCs w:val="20"/>
        </w:rPr>
        <w:t xml:space="preserve"> maddesinin üçüncü fıkrasına dayanılarak hazırlanmıştır.</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t>Hakem ücretinin kapsadığı işler</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t>MADDE 3 –</w:t>
      </w:r>
      <w:r w:rsidRPr="00E27917">
        <w:rPr>
          <w:rFonts w:ascii="Times New Roman" w:hAnsi="Times New Roman" w:cs="Times New Roman"/>
          <w:sz w:val="20"/>
          <w:szCs w:val="20"/>
        </w:rPr>
        <w:t xml:space="preserve"> (1) Tarifede yazılı hakem ücreti, tahkim davasının açıldığı tarihten itibaren nihaî hakem kararı verilinceye kadar yapılan dava ile ilgili iş ve işlemlerin karşılığıdır.</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(2) Hakem kararının düzeltilmesi, yorumlanması veya tamamlanması halleri ek ücreti gerektirmez.</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t>Başkanın ücreti</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t>MADDE 4 –</w:t>
      </w:r>
      <w:r w:rsidRPr="00E27917">
        <w:rPr>
          <w:rFonts w:ascii="Times New Roman" w:hAnsi="Times New Roman" w:cs="Times New Roman"/>
          <w:sz w:val="20"/>
          <w:szCs w:val="20"/>
        </w:rPr>
        <w:t xml:space="preserve"> (1) Başkanın ücreti, hakemlerden her birine ödenecek hakem ücretinin yüzde on fazlası olarak hesaplanır.</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t>Ücretin kısmen hak edilmesi ve ücret ödenmeyecek haller</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t>MADDE 5 –</w:t>
      </w:r>
      <w:r w:rsidRPr="00E27917">
        <w:rPr>
          <w:rFonts w:ascii="Times New Roman" w:hAnsi="Times New Roman" w:cs="Times New Roman"/>
          <w:sz w:val="20"/>
          <w:szCs w:val="20"/>
        </w:rPr>
        <w:t xml:space="preserve"> (1) Hakemlerden birinin veya hakem kurulunun görevinin Hukuk Muhakemeleri Kanununun 435 inci maddesinin birinci fıkrasının (b), (c), (ç), (d) ve (e) bentlerinde yazılı sebeplerden biriyle sona ermesi halinde, ücret tablosunda yazılı ücretin yarısına hükmedilir.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lastRenderedPageBreak/>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t>Davanın geri alınması, konusuz kalması, feragat, kabul veya sulh halinde ücret</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t>MADDE 6 –</w:t>
      </w:r>
      <w:r w:rsidRPr="00E27917">
        <w:rPr>
          <w:rFonts w:ascii="Times New Roman" w:hAnsi="Times New Roman" w:cs="Times New Roman"/>
          <w:sz w:val="20"/>
          <w:szCs w:val="20"/>
        </w:rPr>
        <w:t xml:space="preserve"> (1) Anlaşmazlığın, davanın geri alınması, konusuz kalması, feragat, kabul veya sulh nedeniyle, hakem veya hakem kurulunca taraflara delillerin sunulması hususunda süre verilmesinden önce sona ermesi halinde ücret tablosunda belirlenen ücretin yarısına, süre verilmesinden sonra sona ermesi halinde ise tabloda belirlenen ücretin tamamına hükmolunur.</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t>Kısmî kararda ücret</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t>MADDE 7 –</w:t>
      </w:r>
      <w:r w:rsidRPr="00E27917">
        <w:rPr>
          <w:rFonts w:ascii="Times New Roman" w:hAnsi="Times New Roman" w:cs="Times New Roman"/>
          <w:sz w:val="20"/>
          <w:szCs w:val="20"/>
        </w:rPr>
        <w:t xml:space="preserve"> (1) Hakem veya hakem kurulunca kısmî karar verilmesi halinde ücret, kısmî karar konusu uyuşmazlığın değerine göre belirlenir.</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(2) Kısmî kararın, nihaî karar olarak verilmesi halinde ücret tablosunda yazılı ücretin tamamına hükmedilir.</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t xml:space="preserve">İptal </w:t>
      </w:r>
      <w:proofErr w:type="spellStart"/>
      <w:r w:rsidRPr="00E27917">
        <w:rPr>
          <w:rFonts w:ascii="Times New Roman" w:hAnsi="Times New Roman" w:cs="Times New Roman"/>
          <w:b/>
          <w:sz w:val="20"/>
          <w:szCs w:val="20"/>
        </w:rPr>
        <w:t>davasısonucunda</w:t>
      </w:r>
      <w:proofErr w:type="spellEnd"/>
      <w:r w:rsidRPr="00E27917">
        <w:rPr>
          <w:rFonts w:ascii="Times New Roman" w:hAnsi="Times New Roman" w:cs="Times New Roman"/>
          <w:b/>
          <w:sz w:val="20"/>
          <w:szCs w:val="20"/>
        </w:rPr>
        <w:t xml:space="preserve"> hakemin davaya yeniden bakması</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t>MADDE 8 –</w:t>
      </w:r>
      <w:r w:rsidRPr="00E27917">
        <w:rPr>
          <w:rFonts w:ascii="Times New Roman" w:hAnsi="Times New Roman" w:cs="Times New Roman"/>
          <w:sz w:val="20"/>
          <w:szCs w:val="20"/>
        </w:rPr>
        <w:t xml:space="preserve"> (1) Hukuk Muhakemeleri Kanununun 439 uncu maddesinin yedinci fıkrası uyarınca tarafların eski hakemlerden birini yeniden tayin etmeleri durumunda ücret tablosunda yazılı ücretin yarısına hükmedilir.</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t>Ücretin hak edilme zamanı</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t>MADDE 9 –</w:t>
      </w:r>
      <w:r w:rsidRPr="00E27917">
        <w:rPr>
          <w:rFonts w:ascii="Times New Roman" w:hAnsi="Times New Roman" w:cs="Times New Roman"/>
          <w:sz w:val="20"/>
          <w:szCs w:val="20"/>
        </w:rPr>
        <w:t xml:space="preserve"> (1) Hakem ücreti, tahkim yargılamasının sona ermesi ile hak edilir.</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t>Ücretin paylaşımı</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t>MADDE 10 –</w:t>
      </w:r>
      <w:r w:rsidRPr="00E27917">
        <w:rPr>
          <w:rFonts w:ascii="Times New Roman" w:hAnsi="Times New Roman" w:cs="Times New Roman"/>
          <w:sz w:val="20"/>
          <w:szCs w:val="20"/>
        </w:rPr>
        <w:t xml:space="preserve"> (1) Ücret tablosuna göre belirlenecek ücret, Tarifenin 24 üncü maddesi hükmü de gözetilmek suretiyle hakemler arasında paylaştırılır.</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t>Uygulanacak tarife</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t>MADDE 11 –</w:t>
      </w:r>
      <w:r w:rsidRPr="00E27917">
        <w:rPr>
          <w:rFonts w:ascii="Times New Roman" w:hAnsi="Times New Roman" w:cs="Times New Roman"/>
          <w:sz w:val="20"/>
          <w:szCs w:val="20"/>
        </w:rPr>
        <w:t xml:space="preserve"> (1) Hakem ücretinin tayininde hüküm verildiği tarihte yürürlükte bulunan tarife esas alınır.</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lastRenderedPageBreak/>
        <w:t>Ücret tablosu</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rsidP="00E27917">
      <w:pPr>
        <w:jc w:val="both"/>
        <w:rPr>
          <w:rFonts w:ascii="Times New Roman" w:hAnsi="Times New Roman" w:cs="Times New Roman"/>
          <w:sz w:val="20"/>
          <w:szCs w:val="20"/>
        </w:rPr>
      </w:pPr>
      <w:r w:rsidRPr="00E27917">
        <w:rPr>
          <w:rFonts w:ascii="Times New Roman" w:hAnsi="Times New Roman" w:cs="Times New Roman"/>
          <w:b/>
          <w:sz w:val="20"/>
          <w:szCs w:val="20"/>
        </w:rPr>
        <w:t>MADDE 12 –</w:t>
      </w:r>
      <w:r w:rsidRPr="00E27917">
        <w:rPr>
          <w:rFonts w:ascii="Times New Roman" w:hAnsi="Times New Roman" w:cs="Times New Roman"/>
          <w:sz w:val="20"/>
          <w:szCs w:val="20"/>
        </w:rPr>
        <w:t xml:space="preserve"> (1) Bu Tarifeye göre verilecek ücretler aşağıdaki ücret tablosuna göre hesaplanır.</w:t>
      </w:r>
    </w:p>
    <w:p w:rsidR="00E27917" w:rsidRPr="00E27917" w:rsidRDefault="00E27917" w:rsidP="00E27917">
      <w:pPr>
        <w:pStyle w:val="3-normalyaz"/>
        <w:spacing w:before="0" w:beforeAutospacing="0" w:after="0" w:afterAutospacing="0" w:line="276" w:lineRule="auto"/>
        <w:rPr>
          <w:sz w:val="20"/>
          <w:szCs w:val="20"/>
        </w:rPr>
      </w:pPr>
      <w:r w:rsidRPr="00E27917">
        <w:rPr>
          <w:sz w:val="20"/>
          <w:szCs w:val="20"/>
        </w:rPr>
        <w:t> </w:t>
      </w:r>
    </w:p>
    <w:p w:rsidR="00E27917" w:rsidRPr="00E27917" w:rsidRDefault="00E27917" w:rsidP="00E27917">
      <w:pPr>
        <w:pStyle w:val="3-normalyaz"/>
        <w:spacing w:before="0" w:beforeAutospacing="0" w:after="0" w:afterAutospacing="0" w:line="276" w:lineRule="auto"/>
        <w:rPr>
          <w:sz w:val="20"/>
          <w:szCs w:val="20"/>
        </w:rPr>
      </w:pPr>
      <w:r w:rsidRPr="00E27917">
        <w:rPr>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1610"/>
        <w:gridCol w:w="2501"/>
      </w:tblGrid>
      <w:tr w:rsidR="00E27917" w:rsidRPr="00E27917">
        <w:trPr>
          <w:trHeight w:val="20"/>
          <w:jc w:val="center"/>
        </w:trPr>
        <w:tc>
          <w:tcPr>
            <w:tcW w:w="4786" w:type="dxa"/>
            <w:vMerge w:val="restart"/>
            <w:tcBorders>
              <w:top w:val="single" w:sz="4" w:space="0" w:color="auto"/>
              <w:left w:val="single" w:sz="4" w:space="0" w:color="auto"/>
              <w:bottom w:val="single" w:sz="4" w:space="0" w:color="auto"/>
              <w:right w:val="single" w:sz="4" w:space="0" w:color="auto"/>
            </w:tcBorders>
            <w:vAlign w:val="center"/>
            <w:hideMark/>
          </w:tcPr>
          <w:p w:rsidR="00E27917" w:rsidRPr="00E27917" w:rsidRDefault="00E27917">
            <w:pPr>
              <w:jc w:val="center"/>
              <w:rPr>
                <w:rFonts w:ascii="Times New Roman" w:hAnsi="Times New Roman" w:cs="Times New Roman"/>
                <w:sz w:val="20"/>
                <w:szCs w:val="20"/>
              </w:rPr>
            </w:pPr>
            <w:r w:rsidRPr="00E27917">
              <w:rPr>
                <w:rFonts w:ascii="Times New Roman" w:hAnsi="Times New Roman" w:cs="Times New Roman"/>
                <w:sz w:val="20"/>
                <w:szCs w:val="20"/>
              </w:rPr>
              <w:t> </w:t>
            </w:r>
          </w:p>
          <w:p w:rsidR="00E27917" w:rsidRPr="00E27917" w:rsidRDefault="00E27917">
            <w:pPr>
              <w:spacing w:line="20" w:lineRule="atLeast"/>
              <w:jc w:val="center"/>
              <w:rPr>
                <w:rFonts w:ascii="Times New Roman" w:hAnsi="Times New Roman" w:cs="Times New Roman"/>
                <w:color w:val="000000"/>
                <w:sz w:val="20"/>
                <w:szCs w:val="20"/>
              </w:rPr>
            </w:pPr>
            <w:r w:rsidRPr="00E27917">
              <w:rPr>
                <w:rFonts w:ascii="Times New Roman" w:hAnsi="Times New Roman" w:cs="Times New Roman"/>
                <w:b/>
                <w:bCs/>
                <w:sz w:val="20"/>
                <w:szCs w:val="20"/>
              </w:rPr>
              <w:t>ANLAŞMAZLIK KONUSU DEĞER</w:t>
            </w:r>
          </w:p>
        </w:tc>
        <w:tc>
          <w:tcPr>
            <w:tcW w:w="4424" w:type="dxa"/>
            <w:gridSpan w:val="2"/>
            <w:tcBorders>
              <w:top w:val="single" w:sz="4" w:space="0" w:color="auto"/>
              <w:left w:val="single" w:sz="4" w:space="0" w:color="auto"/>
              <w:bottom w:val="single" w:sz="4" w:space="0" w:color="auto"/>
              <w:right w:val="single" w:sz="4" w:space="0" w:color="auto"/>
            </w:tcBorders>
            <w:vAlign w:val="center"/>
            <w:hideMark/>
          </w:tcPr>
          <w:p w:rsidR="00E27917" w:rsidRPr="00E27917" w:rsidRDefault="00E27917">
            <w:pPr>
              <w:spacing w:line="20" w:lineRule="atLeast"/>
              <w:jc w:val="center"/>
              <w:rPr>
                <w:rFonts w:ascii="Times New Roman" w:hAnsi="Times New Roman" w:cs="Times New Roman"/>
                <w:color w:val="000000"/>
                <w:sz w:val="20"/>
                <w:szCs w:val="20"/>
              </w:rPr>
            </w:pPr>
            <w:r w:rsidRPr="00E27917">
              <w:rPr>
                <w:rFonts w:ascii="Times New Roman" w:hAnsi="Times New Roman" w:cs="Times New Roman"/>
                <w:b/>
                <w:bCs/>
                <w:sz w:val="20"/>
                <w:szCs w:val="20"/>
              </w:rPr>
              <w:t>ÜCRET</w:t>
            </w:r>
          </w:p>
        </w:tc>
      </w:tr>
      <w:tr w:rsidR="00E27917" w:rsidRPr="00E27917">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7917" w:rsidRPr="00E27917" w:rsidRDefault="00E27917">
            <w:pPr>
              <w:rPr>
                <w:rFonts w:ascii="Times New Roman" w:hAnsi="Times New Roman"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27917" w:rsidRPr="00E27917" w:rsidRDefault="00E27917">
            <w:pPr>
              <w:spacing w:line="20" w:lineRule="atLeast"/>
              <w:jc w:val="center"/>
              <w:rPr>
                <w:rFonts w:ascii="Times New Roman" w:hAnsi="Times New Roman" w:cs="Times New Roman"/>
                <w:color w:val="000000"/>
                <w:sz w:val="20"/>
                <w:szCs w:val="20"/>
              </w:rPr>
            </w:pPr>
            <w:r w:rsidRPr="00E27917">
              <w:rPr>
                <w:rFonts w:ascii="Times New Roman" w:hAnsi="Times New Roman" w:cs="Times New Roman"/>
                <w:b/>
                <w:bCs/>
                <w:sz w:val="20"/>
                <w:szCs w:val="20"/>
              </w:rPr>
              <w:t>TEK HAKEM</w:t>
            </w:r>
          </w:p>
        </w:tc>
        <w:tc>
          <w:tcPr>
            <w:tcW w:w="2723" w:type="dxa"/>
            <w:tcBorders>
              <w:top w:val="single" w:sz="4" w:space="0" w:color="auto"/>
              <w:left w:val="single" w:sz="4" w:space="0" w:color="auto"/>
              <w:bottom w:val="single" w:sz="4" w:space="0" w:color="auto"/>
              <w:right w:val="single" w:sz="4" w:space="0" w:color="auto"/>
            </w:tcBorders>
            <w:vAlign w:val="center"/>
            <w:hideMark/>
          </w:tcPr>
          <w:p w:rsidR="00E27917" w:rsidRPr="00E27917" w:rsidRDefault="00E27917">
            <w:pPr>
              <w:spacing w:line="20" w:lineRule="atLeast"/>
              <w:jc w:val="center"/>
              <w:rPr>
                <w:rFonts w:ascii="Times New Roman" w:hAnsi="Times New Roman" w:cs="Times New Roman"/>
                <w:color w:val="000000"/>
                <w:sz w:val="20"/>
                <w:szCs w:val="20"/>
              </w:rPr>
            </w:pPr>
            <w:r w:rsidRPr="00E27917">
              <w:rPr>
                <w:rFonts w:ascii="Times New Roman" w:hAnsi="Times New Roman" w:cs="Times New Roman"/>
                <w:b/>
                <w:bCs/>
                <w:sz w:val="20"/>
                <w:szCs w:val="20"/>
              </w:rPr>
              <w:t>3 VEYA DAHA FAZLA SAYIDA HAKEM</w:t>
            </w:r>
          </w:p>
        </w:tc>
      </w:tr>
      <w:tr w:rsidR="00E27917" w:rsidRPr="00E27917">
        <w:trPr>
          <w:trHeight w:val="20"/>
          <w:jc w:val="center"/>
        </w:trPr>
        <w:tc>
          <w:tcPr>
            <w:tcW w:w="4786" w:type="dxa"/>
            <w:tcBorders>
              <w:top w:val="single" w:sz="4" w:space="0" w:color="auto"/>
              <w:left w:val="single" w:sz="4" w:space="0" w:color="auto"/>
              <w:bottom w:val="single" w:sz="4" w:space="0" w:color="auto"/>
              <w:right w:val="single" w:sz="4" w:space="0" w:color="auto"/>
            </w:tcBorders>
            <w:hideMark/>
          </w:tcPr>
          <w:p w:rsidR="00E27917" w:rsidRPr="00E27917" w:rsidRDefault="00E27917">
            <w:pPr>
              <w:spacing w:line="20" w:lineRule="atLeast"/>
              <w:rPr>
                <w:rFonts w:ascii="Times New Roman" w:hAnsi="Times New Roman" w:cs="Times New Roman"/>
                <w:color w:val="000000"/>
                <w:sz w:val="20"/>
                <w:szCs w:val="20"/>
              </w:rPr>
            </w:pPr>
            <w:r w:rsidRPr="00E27917">
              <w:rPr>
                <w:rFonts w:ascii="Times New Roman" w:hAnsi="Times New Roman" w:cs="Times New Roman"/>
                <w:sz w:val="20"/>
                <w:szCs w:val="20"/>
              </w:rPr>
              <w:t>İlk gelen 500.000,00 TL için</w:t>
            </w:r>
          </w:p>
        </w:tc>
        <w:tc>
          <w:tcPr>
            <w:tcW w:w="1701" w:type="dxa"/>
            <w:tcBorders>
              <w:top w:val="single" w:sz="4" w:space="0" w:color="auto"/>
              <w:left w:val="single" w:sz="4" w:space="0" w:color="auto"/>
              <w:bottom w:val="single" w:sz="4" w:space="0" w:color="auto"/>
              <w:right w:val="single" w:sz="4" w:space="0" w:color="auto"/>
            </w:tcBorders>
            <w:hideMark/>
          </w:tcPr>
          <w:p w:rsidR="00E27917" w:rsidRPr="00E27917" w:rsidRDefault="00E27917">
            <w:pPr>
              <w:spacing w:line="20" w:lineRule="atLeast"/>
              <w:jc w:val="center"/>
              <w:rPr>
                <w:rFonts w:ascii="Times New Roman" w:hAnsi="Times New Roman" w:cs="Times New Roman"/>
                <w:color w:val="000000"/>
                <w:sz w:val="20"/>
                <w:szCs w:val="20"/>
              </w:rPr>
            </w:pPr>
            <w:r w:rsidRPr="00E27917">
              <w:rPr>
                <w:rFonts w:ascii="Times New Roman" w:hAnsi="Times New Roman" w:cs="Times New Roman"/>
                <w:sz w:val="20"/>
                <w:szCs w:val="20"/>
              </w:rPr>
              <w:t>% 5</w:t>
            </w:r>
          </w:p>
        </w:tc>
        <w:tc>
          <w:tcPr>
            <w:tcW w:w="2723" w:type="dxa"/>
            <w:tcBorders>
              <w:top w:val="single" w:sz="4" w:space="0" w:color="auto"/>
              <w:left w:val="single" w:sz="4" w:space="0" w:color="auto"/>
              <w:bottom w:val="single" w:sz="4" w:space="0" w:color="auto"/>
              <w:right w:val="single" w:sz="4" w:space="0" w:color="auto"/>
            </w:tcBorders>
            <w:hideMark/>
          </w:tcPr>
          <w:p w:rsidR="00E27917" w:rsidRPr="00E27917" w:rsidRDefault="00E27917">
            <w:pPr>
              <w:spacing w:line="20" w:lineRule="atLeast"/>
              <w:jc w:val="center"/>
              <w:rPr>
                <w:rFonts w:ascii="Times New Roman" w:hAnsi="Times New Roman" w:cs="Times New Roman"/>
                <w:color w:val="000000"/>
                <w:sz w:val="20"/>
                <w:szCs w:val="20"/>
              </w:rPr>
            </w:pPr>
            <w:r w:rsidRPr="00E27917">
              <w:rPr>
                <w:rFonts w:ascii="Times New Roman" w:hAnsi="Times New Roman" w:cs="Times New Roman"/>
                <w:sz w:val="20"/>
                <w:szCs w:val="20"/>
              </w:rPr>
              <w:t>% 8</w:t>
            </w:r>
          </w:p>
        </w:tc>
      </w:tr>
      <w:tr w:rsidR="00E27917" w:rsidRPr="00E27917">
        <w:trPr>
          <w:trHeight w:val="20"/>
          <w:jc w:val="center"/>
        </w:trPr>
        <w:tc>
          <w:tcPr>
            <w:tcW w:w="4786" w:type="dxa"/>
            <w:tcBorders>
              <w:top w:val="single" w:sz="4" w:space="0" w:color="auto"/>
              <w:left w:val="single" w:sz="4" w:space="0" w:color="auto"/>
              <w:bottom w:val="single" w:sz="4" w:space="0" w:color="auto"/>
              <w:right w:val="single" w:sz="4" w:space="0" w:color="auto"/>
            </w:tcBorders>
            <w:hideMark/>
          </w:tcPr>
          <w:p w:rsidR="00E27917" w:rsidRPr="00E27917" w:rsidRDefault="00E27917">
            <w:pPr>
              <w:spacing w:line="20" w:lineRule="atLeast"/>
              <w:rPr>
                <w:rFonts w:ascii="Times New Roman" w:hAnsi="Times New Roman" w:cs="Times New Roman"/>
                <w:color w:val="000000"/>
                <w:sz w:val="20"/>
                <w:szCs w:val="20"/>
              </w:rPr>
            </w:pPr>
            <w:r w:rsidRPr="00E27917">
              <w:rPr>
                <w:rFonts w:ascii="Times New Roman" w:hAnsi="Times New Roman" w:cs="Times New Roman"/>
                <w:sz w:val="20"/>
                <w:szCs w:val="20"/>
              </w:rPr>
              <w:t>Sonra gelen 500.000,00 TL için</w:t>
            </w:r>
          </w:p>
        </w:tc>
        <w:tc>
          <w:tcPr>
            <w:tcW w:w="1701" w:type="dxa"/>
            <w:tcBorders>
              <w:top w:val="single" w:sz="4" w:space="0" w:color="auto"/>
              <w:left w:val="single" w:sz="4" w:space="0" w:color="auto"/>
              <w:bottom w:val="single" w:sz="4" w:space="0" w:color="auto"/>
              <w:right w:val="single" w:sz="4" w:space="0" w:color="auto"/>
            </w:tcBorders>
            <w:hideMark/>
          </w:tcPr>
          <w:p w:rsidR="00E27917" w:rsidRPr="00E27917" w:rsidRDefault="00E27917">
            <w:pPr>
              <w:spacing w:line="20" w:lineRule="atLeast"/>
              <w:jc w:val="center"/>
              <w:rPr>
                <w:rFonts w:ascii="Times New Roman" w:hAnsi="Times New Roman" w:cs="Times New Roman"/>
                <w:color w:val="000000"/>
                <w:sz w:val="20"/>
                <w:szCs w:val="20"/>
              </w:rPr>
            </w:pPr>
            <w:r w:rsidRPr="00E27917">
              <w:rPr>
                <w:rFonts w:ascii="Times New Roman" w:hAnsi="Times New Roman" w:cs="Times New Roman"/>
                <w:sz w:val="20"/>
                <w:szCs w:val="20"/>
              </w:rPr>
              <w:t>% 4</w:t>
            </w:r>
          </w:p>
        </w:tc>
        <w:tc>
          <w:tcPr>
            <w:tcW w:w="2723" w:type="dxa"/>
            <w:tcBorders>
              <w:top w:val="single" w:sz="4" w:space="0" w:color="auto"/>
              <w:left w:val="single" w:sz="4" w:space="0" w:color="auto"/>
              <w:bottom w:val="single" w:sz="4" w:space="0" w:color="auto"/>
              <w:right w:val="single" w:sz="4" w:space="0" w:color="auto"/>
            </w:tcBorders>
            <w:hideMark/>
          </w:tcPr>
          <w:p w:rsidR="00E27917" w:rsidRPr="00E27917" w:rsidRDefault="00E27917">
            <w:pPr>
              <w:spacing w:line="20" w:lineRule="atLeast"/>
              <w:jc w:val="center"/>
              <w:rPr>
                <w:rFonts w:ascii="Times New Roman" w:hAnsi="Times New Roman" w:cs="Times New Roman"/>
                <w:color w:val="000000"/>
                <w:sz w:val="20"/>
                <w:szCs w:val="20"/>
              </w:rPr>
            </w:pPr>
            <w:r w:rsidRPr="00E27917">
              <w:rPr>
                <w:rFonts w:ascii="Times New Roman" w:hAnsi="Times New Roman" w:cs="Times New Roman"/>
                <w:sz w:val="20"/>
                <w:szCs w:val="20"/>
              </w:rPr>
              <w:t>% 7</w:t>
            </w:r>
          </w:p>
        </w:tc>
      </w:tr>
      <w:tr w:rsidR="00E27917" w:rsidRPr="00E27917">
        <w:trPr>
          <w:trHeight w:val="20"/>
          <w:jc w:val="center"/>
        </w:trPr>
        <w:tc>
          <w:tcPr>
            <w:tcW w:w="4786" w:type="dxa"/>
            <w:tcBorders>
              <w:top w:val="single" w:sz="4" w:space="0" w:color="auto"/>
              <w:left w:val="single" w:sz="4" w:space="0" w:color="auto"/>
              <w:bottom w:val="single" w:sz="4" w:space="0" w:color="auto"/>
              <w:right w:val="single" w:sz="4" w:space="0" w:color="auto"/>
            </w:tcBorders>
            <w:hideMark/>
          </w:tcPr>
          <w:p w:rsidR="00E27917" w:rsidRPr="00E27917" w:rsidRDefault="00E27917">
            <w:pPr>
              <w:spacing w:line="20" w:lineRule="atLeast"/>
              <w:rPr>
                <w:rFonts w:ascii="Times New Roman" w:hAnsi="Times New Roman" w:cs="Times New Roman"/>
                <w:color w:val="000000"/>
                <w:sz w:val="20"/>
                <w:szCs w:val="20"/>
              </w:rPr>
            </w:pPr>
            <w:r w:rsidRPr="00E27917">
              <w:rPr>
                <w:rFonts w:ascii="Times New Roman" w:hAnsi="Times New Roman" w:cs="Times New Roman"/>
                <w:sz w:val="20"/>
                <w:szCs w:val="20"/>
              </w:rPr>
              <w:t>Sonra gelen 1.000.000,00 TL için</w:t>
            </w:r>
          </w:p>
        </w:tc>
        <w:tc>
          <w:tcPr>
            <w:tcW w:w="1701" w:type="dxa"/>
            <w:tcBorders>
              <w:top w:val="single" w:sz="4" w:space="0" w:color="auto"/>
              <w:left w:val="single" w:sz="4" w:space="0" w:color="auto"/>
              <w:bottom w:val="single" w:sz="4" w:space="0" w:color="auto"/>
              <w:right w:val="single" w:sz="4" w:space="0" w:color="auto"/>
            </w:tcBorders>
            <w:hideMark/>
          </w:tcPr>
          <w:p w:rsidR="00E27917" w:rsidRPr="00E27917" w:rsidRDefault="00E27917">
            <w:pPr>
              <w:spacing w:line="20" w:lineRule="atLeast"/>
              <w:jc w:val="center"/>
              <w:rPr>
                <w:rFonts w:ascii="Times New Roman" w:hAnsi="Times New Roman" w:cs="Times New Roman"/>
                <w:color w:val="000000"/>
                <w:sz w:val="20"/>
                <w:szCs w:val="20"/>
              </w:rPr>
            </w:pPr>
            <w:r w:rsidRPr="00E27917">
              <w:rPr>
                <w:rFonts w:ascii="Times New Roman" w:hAnsi="Times New Roman" w:cs="Times New Roman"/>
                <w:sz w:val="20"/>
                <w:szCs w:val="20"/>
              </w:rPr>
              <w:t>% 3</w:t>
            </w:r>
          </w:p>
        </w:tc>
        <w:tc>
          <w:tcPr>
            <w:tcW w:w="2723" w:type="dxa"/>
            <w:tcBorders>
              <w:top w:val="single" w:sz="4" w:space="0" w:color="auto"/>
              <w:left w:val="single" w:sz="4" w:space="0" w:color="auto"/>
              <w:bottom w:val="single" w:sz="4" w:space="0" w:color="auto"/>
              <w:right w:val="single" w:sz="4" w:space="0" w:color="auto"/>
            </w:tcBorders>
            <w:hideMark/>
          </w:tcPr>
          <w:p w:rsidR="00E27917" w:rsidRPr="00E27917" w:rsidRDefault="00E27917">
            <w:pPr>
              <w:spacing w:line="20" w:lineRule="atLeast"/>
              <w:jc w:val="center"/>
              <w:rPr>
                <w:rFonts w:ascii="Times New Roman" w:hAnsi="Times New Roman" w:cs="Times New Roman"/>
                <w:color w:val="000000"/>
                <w:sz w:val="20"/>
                <w:szCs w:val="20"/>
              </w:rPr>
            </w:pPr>
            <w:r w:rsidRPr="00E27917">
              <w:rPr>
                <w:rFonts w:ascii="Times New Roman" w:hAnsi="Times New Roman" w:cs="Times New Roman"/>
                <w:sz w:val="20"/>
                <w:szCs w:val="20"/>
              </w:rPr>
              <w:t>% 6</w:t>
            </w:r>
          </w:p>
        </w:tc>
      </w:tr>
      <w:tr w:rsidR="00E27917" w:rsidRPr="00E27917">
        <w:trPr>
          <w:trHeight w:val="20"/>
          <w:jc w:val="center"/>
        </w:trPr>
        <w:tc>
          <w:tcPr>
            <w:tcW w:w="4786" w:type="dxa"/>
            <w:tcBorders>
              <w:top w:val="single" w:sz="4" w:space="0" w:color="auto"/>
              <w:left w:val="single" w:sz="4" w:space="0" w:color="auto"/>
              <w:bottom w:val="single" w:sz="4" w:space="0" w:color="auto"/>
              <w:right w:val="single" w:sz="4" w:space="0" w:color="auto"/>
            </w:tcBorders>
            <w:hideMark/>
          </w:tcPr>
          <w:p w:rsidR="00E27917" w:rsidRPr="00E27917" w:rsidRDefault="00E27917">
            <w:pPr>
              <w:spacing w:line="20" w:lineRule="atLeast"/>
              <w:rPr>
                <w:rFonts w:ascii="Times New Roman" w:hAnsi="Times New Roman" w:cs="Times New Roman"/>
                <w:color w:val="000000"/>
                <w:sz w:val="20"/>
                <w:szCs w:val="20"/>
              </w:rPr>
            </w:pPr>
            <w:r w:rsidRPr="00E27917">
              <w:rPr>
                <w:rFonts w:ascii="Times New Roman" w:hAnsi="Times New Roman" w:cs="Times New Roman"/>
                <w:sz w:val="20"/>
                <w:szCs w:val="20"/>
              </w:rPr>
              <w:t>Sonra gelen 3.000.000,00 TL için</w:t>
            </w:r>
          </w:p>
        </w:tc>
        <w:tc>
          <w:tcPr>
            <w:tcW w:w="1701" w:type="dxa"/>
            <w:tcBorders>
              <w:top w:val="single" w:sz="4" w:space="0" w:color="auto"/>
              <w:left w:val="single" w:sz="4" w:space="0" w:color="auto"/>
              <w:bottom w:val="single" w:sz="4" w:space="0" w:color="auto"/>
              <w:right w:val="single" w:sz="4" w:space="0" w:color="auto"/>
            </w:tcBorders>
            <w:hideMark/>
          </w:tcPr>
          <w:p w:rsidR="00E27917" w:rsidRPr="00E27917" w:rsidRDefault="00E27917">
            <w:pPr>
              <w:spacing w:line="20" w:lineRule="atLeast"/>
              <w:jc w:val="center"/>
              <w:rPr>
                <w:rFonts w:ascii="Times New Roman" w:hAnsi="Times New Roman" w:cs="Times New Roman"/>
                <w:color w:val="000000"/>
                <w:sz w:val="20"/>
                <w:szCs w:val="20"/>
              </w:rPr>
            </w:pPr>
            <w:r w:rsidRPr="00E27917">
              <w:rPr>
                <w:rFonts w:ascii="Times New Roman" w:hAnsi="Times New Roman" w:cs="Times New Roman"/>
                <w:sz w:val="20"/>
                <w:szCs w:val="20"/>
              </w:rPr>
              <w:t>% 2</w:t>
            </w:r>
          </w:p>
        </w:tc>
        <w:tc>
          <w:tcPr>
            <w:tcW w:w="2723" w:type="dxa"/>
            <w:tcBorders>
              <w:top w:val="single" w:sz="4" w:space="0" w:color="auto"/>
              <w:left w:val="single" w:sz="4" w:space="0" w:color="auto"/>
              <w:bottom w:val="single" w:sz="4" w:space="0" w:color="auto"/>
              <w:right w:val="single" w:sz="4" w:space="0" w:color="auto"/>
            </w:tcBorders>
            <w:hideMark/>
          </w:tcPr>
          <w:p w:rsidR="00E27917" w:rsidRPr="00E27917" w:rsidRDefault="00E27917">
            <w:pPr>
              <w:spacing w:line="20" w:lineRule="atLeast"/>
              <w:jc w:val="center"/>
              <w:rPr>
                <w:rFonts w:ascii="Times New Roman" w:hAnsi="Times New Roman" w:cs="Times New Roman"/>
                <w:color w:val="000000"/>
                <w:sz w:val="20"/>
                <w:szCs w:val="20"/>
              </w:rPr>
            </w:pPr>
            <w:r w:rsidRPr="00E27917">
              <w:rPr>
                <w:rFonts w:ascii="Times New Roman" w:hAnsi="Times New Roman" w:cs="Times New Roman"/>
                <w:sz w:val="20"/>
                <w:szCs w:val="20"/>
              </w:rPr>
              <w:t>% 4</w:t>
            </w:r>
          </w:p>
        </w:tc>
      </w:tr>
      <w:tr w:rsidR="00E27917" w:rsidRPr="00E27917">
        <w:trPr>
          <w:trHeight w:val="20"/>
          <w:jc w:val="center"/>
        </w:trPr>
        <w:tc>
          <w:tcPr>
            <w:tcW w:w="4786" w:type="dxa"/>
            <w:tcBorders>
              <w:top w:val="single" w:sz="4" w:space="0" w:color="auto"/>
              <w:left w:val="single" w:sz="4" w:space="0" w:color="auto"/>
              <w:bottom w:val="single" w:sz="4" w:space="0" w:color="auto"/>
              <w:right w:val="single" w:sz="4" w:space="0" w:color="auto"/>
            </w:tcBorders>
            <w:hideMark/>
          </w:tcPr>
          <w:p w:rsidR="00E27917" w:rsidRPr="00E27917" w:rsidRDefault="00E27917">
            <w:pPr>
              <w:spacing w:line="20" w:lineRule="atLeast"/>
              <w:rPr>
                <w:rFonts w:ascii="Times New Roman" w:hAnsi="Times New Roman" w:cs="Times New Roman"/>
                <w:color w:val="000000"/>
                <w:sz w:val="20"/>
                <w:szCs w:val="20"/>
              </w:rPr>
            </w:pPr>
            <w:r w:rsidRPr="00E27917">
              <w:rPr>
                <w:rFonts w:ascii="Times New Roman" w:hAnsi="Times New Roman" w:cs="Times New Roman"/>
                <w:sz w:val="20"/>
                <w:szCs w:val="20"/>
              </w:rPr>
              <w:t>Sonra gelen 5.000.000,00 TL için</w:t>
            </w:r>
          </w:p>
        </w:tc>
        <w:tc>
          <w:tcPr>
            <w:tcW w:w="1701" w:type="dxa"/>
            <w:tcBorders>
              <w:top w:val="single" w:sz="4" w:space="0" w:color="auto"/>
              <w:left w:val="single" w:sz="4" w:space="0" w:color="auto"/>
              <w:bottom w:val="single" w:sz="4" w:space="0" w:color="auto"/>
              <w:right w:val="single" w:sz="4" w:space="0" w:color="auto"/>
            </w:tcBorders>
            <w:hideMark/>
          </w:tcPr>
          <w:p w:rsidR="00E27917" w:rsidRPr="00E27917" w:rsidRDefault="00E27917">
            <w:pPr>
              <w:spacing w:line="20" w:lineRule="atLeast"/>
              <w:jc w:val="center"/>
              <w:rPr>
                <w:rFonts w:ascii="Times New Roman" w:hAnsi="Times New Roman" w:cs="Times New Roman"/>
                <w:color w:val="000000"/>
                <w:sz w:val="20"/>
                <w:szCs w:val="20"/>
              </w:rPr>
            </w:pPr>
            <w:r w:rsidRPr="00E27917">
              <w:rPr>
                <w:rFonts w:ascii="Times New Roman" w:hAnsi="Times New Roman" w:cs="Times New Roman"/>
                <w:sz w:val="20"/>
                <w:szCs w:val="20"/>
              </w:rPr>
              <w:t>% 1</w:t>
            </w:r>
          </w:p>
        </w:tc>
        <w:tc>
          <w:tcPr>
            <w:tcW w:w="2723" w:type="dxa"/>
            <w:tcBorders>
              <w:top w:val="single" w:sz="4" w:space="0" w:color="auto"/>
              <w:left w:val="single" w:sz="4" w:space="0" w:color="auto"/>
              <w:bottom w:val="single" w:sz="4" w:space="0" w:color="auto"/>
              <w:right w:val="single" w:sz="4" w:space="0" w:color="auto"/>
            </w:tcBorders>
            <w:hideMark/>
          </w:tcPr>
          <w:p w:rsidR="00E27917" w:rsidRPr="00E27917" w:rsidRDefault="00E27917">
            <w:pPr>
              <w:spacing w:line="20" w:lineRule="atLeast"/>
              <w:jc w:val="center"/>
              <w:rPr>
                <w:rFonts w:ascii="Times New Roman" w:hAnsi="Times New Roman" w:cs="Times New Roman"/>
                <w:color w:val="000000"/>
                <w:sz w:val="20"/>
                <w:szCs w:val="20"/>
              </w:rPr>
            </w:pPr>
            <w:r w:rsidRPr="00E27917">
              <w:rPr>
                <w:rFonts w:ascii="Times New Roman" w:hAnsi="Times New Roman" w:cs="Times New Roman"/>
                <w:sz w:val="20"/>
                <w:szCs w:val="20"/>
              </w:rPr>
              <w:t>% 2</w:t>
            </w:r>
          </w:p>
        </w:tc>
      </w:tr>
      <w:tr w:rsidR="00E27917" w:rsidRPr="00E27917">
        <w:trPr>
          <w:trHeight w:val="20"/>
          <w:jc w:val="center"/>
        </w:trPr>
        <w:tc>
          <w:tcPr>
            <w:tcW w:w="4786" w:type="dxa"/>
            <w:tcBorders>
              <w:top w:val="single" w:sz="4" w:space="0" w:color="auto"/>
              <w:left w:val="single" w:sz="4" w:space="0" w:color="auto"/>
              <w:bottom w:val="single" w:sz="4" w:space="0" w:color="auto"/>
              <w:right w:val="single" w:sz="4" w:space="0" w:color="auto"/>
            </w:tcBorders>
            <w:hideMark/>
          </w:tcPr>
          <w:p w:rsidR="00E27917" w:rsidRPr="00E27917" w:rsidRDefault="00E27917">
            <w:pPr>
              <w:spacing w:line="20" w:lineRule="atLeast"/>
              <w:rPr>
                <w:rFonts w:ascii="Times New Roman" w:hAnsi="Times New Roman" w:cs="Times New Roman"/>
                <w:color w:val="000000"/>
                <w:sz w:val="20"/>
                <w:szCs w:val="20"/>
              </w:rPr>
            </w:pPr>
            <w:r w:rsidRPr="00E27917">
              <w:rPr>
                <w:rFonts w:ascii="Times New Roman" w:hAnsi="Times New Roman" w:cs="Times New Roman"/>
                <w:sz w:val="20"/>
                <w:szCs w:val="20"/>
              </w:rPr>
              <w:t>10.000.000,00 TL’den yukarısı için</w:t>
            </w:r>
          </w:p>
        </w:tc>
        <w:tc>
          <w:tcPr>
            <w:tcW w:w="1701" w:type="dxa"/>
            <w:tcBorders>
              <w:top w:val="single" w:sz="4" w:space="0" w:color="auto"/>
              <w:left w:val="single" w:sz="4" w:space="0" w:color="auto"/>
              <w:bottom w:val="single" w:sz="4" w:space="0" w:color="auto"/>
              <w:right w:val="single" w:sz="4" w:space="0" w:color="auto"/>
            </w:tcBorders>
            <w:hideMark/>
          </w:tcPr>
          <w:p w:rsidR="00E27917" w:rsidRPr="00E27917" w:rsidRDefault="00E27917">
            <w:pPr>
              <w:spacing w:line="20" w:lineRule="atLeast"/>
              <w:jc w:val="center"/>
              <w:rPr>
                <w:rFonts w:ascii="Times New Roman" w:hAnsi="Times New Roman" w:cs="Times New Roman"/>
                <w:color w:val="000000"/>
                <w:sz w:val="20"/>
                <w:szCs w:val="20"/>
              </w:rPr>
            </w:pPr>
            <w:r w:rsidRPr="00E27917">
              <w:rPr>
                <w:rFonts w:ascii="Times New Roman" w:hAnsi="Times New Roman" w:cs="Times New Roman"/>
                <w:sz w:val="20"/>
                <w:szCs w:val="20"/>
              </w:rPr>
              <w:t>% 0,1</w:t>
            </w:r>
          </w:p>
        </w:tc>
        <w:tc>
          <w:tcPr>
            <w:tcW w:w="2723" w:type="dxa"/>
            <w:tcBorders>
              <w:top w:val="single" w:sz="4" w:space="0" w:color="auto"/>
              <w:left w:val="single" w:sz="4" w:space="0" w:color="auto"/>
              <w:bottom w:val="single" w:sz="4" w:space="0" w:color="auto"/>
              <w:right w:val="single" w:sz="4" w:space="0" w:color="auto"/>
            </w:tcBorders>
            <w:hideMark/>
          </w:tcPr>
          <w:p w:rsidR="00E27917" w:rsidRPr="00E27917" w:rsidRDefault="00E27917">
            <w:pPr>
              <w:spacing w:line="20" w:lineRule="atLeast"/>
              <w:jc w:val="center"/>
              <w:rPr>
                <w:rFonts w:ascii="Times New Roman" w:hAnsi="Times New Roman" w:cs="Times New Roman"/>
                <w:color w:val="000000"/>
                <w:sz w:val="20"/>
                <w:szCs w:val="20"/>
              </w:rPr>
            </w:pPr>
            <w:r w:rsidRPr="00E27917">
              <w:rPr>
                <w:rFonts w:ascii="Times New Roman" w:hAnsi="Times New Roman" w:cs="Times New Roman"/>
                <w:sz w:val="20"/>
                <w:szCs w:val="20"/>
              </w:rPr>
              <w:t>% 0,2</w:t>
            </w:r>
          </w:p>
        </w:tc>
      </w:tr>
    </w:tbl>
    <w:p w:rsidR="00E27917" w:rsidRPr="00E27917" w:rsidRDefault="00E27917" w:rsidP="00E27917">
      <w:pPr>
        <w:pStyle w:val="3-normalyaz"/>
        <w:spacing w:before="0" w:beforeAutospacing="0" w:after="0" w:afterAutospacing="0" w:line="276" w:lineRule="auto"/>
        <w:jc w:val="center"/>
        <w:rPr>
          <w:sz w:val="20"/>
          <w:szCs w:val="20"/>
        </w:rPr>
      </w:pPr>
      <w:r w:rsidRPr="00E27917">
        <w:rPr>
          <w:sz w:val="20"/>
          <w:szCs w:val="20"/>
        </w:rPr>
        <w:t> </w:t>
      </w:r>
    </w:p>
    <w:p w:rsidR="00E27917" w:rsidRPr="00E27917" w:rsidRDefault="00E27917" w:rsidP="00E27917">
      <w:pPr>
        <w:pStyle w:val="3-normalyaz"/>
        <w:spacing w:before="0" w:beforeAutospacing="0" w:after="0" w:afterAutospacing="0" w:line="276" w:lineRule="auto"/>
        <w:rPr>
          <w:sz w:val="20"/>
          <w:szCs w:val="20"/>
        </w:rPr>
      </w:pPr>
      <w:r w:rsidRPr="00E27917">
        <w:rPr>
          <w:b/>
          <w:sz w:val="20"/>
          <w:szCs w:val="20"/>
        </w:rPr>
        <w:t>Yürürlük</w:t>
      </w:r>
    </w:p>
    <w:p w:rsidR="00E27917" w:rsidRPr="00E27917" w:rsidRDefault="00E27917" w:rsidP="00E27917">
      <w:pPr>
        <w:pStyle w:val="3-normalyaz"/>
        <w:spacing w:before="0" w:beforeAutospacing="0" w:after="0" w:afterAutospacing="0" w:line="276" w:lineRule="auto"/>
        <w:rPr>
          <w:sz w:val="20"/>
          <w:szCs w:val="20"/>
        </w:rPr>
      </w:pPr>
      <w:r w:rsidRPr="00E27917">
        <w:rPr>
          <w:sz w:val="20"/>
          <w:szCs w:val="20"/>
        </w:rPr>
        <w:t> </w:t>
      </w:r>
    </w:p>
    <w:p w:rsidR="00E27917" w:rsidRPr="00E27917" w:rsidRDefault="00E27917" w:rsidP="00E27917">
      <w:pPr>
        <w:pStyle w:val="3-normalyaz"/>
        <w:spacing w:before="0" w:beforeAutospacing="0" w:after="0" w:afterAutospacing="0" w:line="276" w:lineRule="auto"/>
        <w:rPr>
          <w:sz w:val="20"/>
          <w:szCs w:val="20"/>
        </w:rPr>
      </w:pPr>
      <w:r w:rsidRPr="00E27917">
        <w:rPr>
          <w:b/>
          <w:sz w:val="20"/>
          <w:szCs w:val="20"/>
        </w:rPr>
        <w:t>MADDE 13 –</w:t>
      </w:r>
      <w:r w:rsidRPr="00E27917">
        <w:rPr>
          <w:sz w:val="20"/>
          <w:szCs w:val="20"/>
        </w:rPr>
        <w:t xml:space="preserve"> (1) Bu Tarife 1 Ekim 2011 tarihinde yürürlüğe girer.</w:t>
      </w:r>
    </w:p>
    <w:p w:rsidR="00E27917" w:rsidRPr="00E27917" w:rsidRDefault="00E27917" w:rsidP="00EC7DA1">
      <w:pPr>
        <w:tabs>
          <w:tab w:val="left" w:pos="566"/>
        </w:tabs>
        <w:spacing w:after="0" w:line="240" w:lineRule="exact"/>
        <w:rPr>
          <w:rFonts w:ascii="Times New Roman" w:eastAsia="ヒラギノ明朝 Pro W3" w:hAnsi="Times New Roman" w:cs="Times New Roman"/>
          <w:sz w:val="20"/>
          <w:szCs w:val="20"/>
          <w:u w:val="single"/>
        </w:rPr>
      </w:pPr>
    </w:p>
    <w:sectPr w:rsidR="00E27917" w:rsidRPr="00E27917"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84F" w:rsidRDefault="0078184F" w:rsidP="003A1052">
      <w:pPr>
        <w:spacing w:after="0" w:line="240" w:lineRule="auto"/>
      </w:pPr>
      <w:r>
        <w:separator/>
      </w:r>
    </w:p>
  </w:endnote>
  <w:endnote w:type="continuationSeparator" w:id="0">
    <w:p w:rsidR="0078184F" w:rsidRDefault="0078184F"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84F" w:rsidRDefault="0078184F" w:rsidP="003A1052">
      <w:pPr>
        <w:spacing w:after="0" w:line="240" w:lineRule="auto"/>
      </w:pPr>
      <w:r>
        <w:separator/>
      </w:r>
    </w:p>
  </w:footnote>
  <w:footnote w:type="continuationSeparator" w:id="0">
    <w:p w:rsidR="0078184F" w:rsidRDefault="0078184F"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11C71"/>
    <w:rsid w:val="000326F6"/>
    <w:rsid w:val="00056351"/>
    <w:rsid w:val="000725EB"/>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378EB"/>
    <w:rsid w:val="0015272E"/>
    <w:rsid w:val="00160136"/>
    <w:rsid w:val="00164251"/>
    <w:rsid w:val="00175B14"/>
    <w:rsid w:val="00183A59"/>
    <w:rsid w:val="00185A3C"/>
    <w:rsid w:val="00191580"/>
    <w:rsid w:val="00191DFE"/>
    <w:rsid w:val="0019666D"/>
    <w:rsid w:val="001B4016"/>
    <w:rsid w:val="001B7BAB"/>
    <w:rsid w:val="001C25E5"/>
    <w:rsid w:val="001D6B85"/>
    <w:rsid w:val="001D6F5E"/>
    <w:rsid w:val="001E4506"/>
    <w:rsid w:val="001F1EDF"/>
    <w:rsid w:val="00210C2B"/>
    <w:rsid w:val="002141CF"/>
    <w:rsid w:val="00221B09"/>
    <w:rsid w:val="0022477E"/>
    <w:rsid w:val="00242BB3"/>
    <w:rsid w:val="0026000D"/>
    <w:rsid w:val="00262291"/>
    <w:rsid w:val="002631CA"/>
    <w:rsid w:val="00273CA8"/>
    <w:rsid w:val="002977C1"/>
    <w:rsid w:val="002A1EEE"/>
    <w:rsid w:val="002B13F3"/>
    <w:rsid w:val="002C52C2"/>
    <w:rsid w:val="002D4761"/>
    <w:rsid w:val="002D4B37"/>
    <w:rsid w:val="002D679F"/>
    <w:rsid w:val="002F5DD8"/>
    <w:rsid w:val="003076AD"/>
    <w:rsid w:val="003077B7"/>
    <w:rsid w:val="00316B9E"/>
    <w:rsid w:val="003817A3"/>
    <w:rsid w:val="00387118"/>
    <w:rsid w:val="003A1052"/>
    <w:rsid w:val="003A43C1"/>
    <w:rsid w:val="003D5023"/>
    <w:rsid w:val="003E7E22"/>
    <w:rsid w:val="004114C2"/>
    <w:rsid w:val="004258BF"/>
    <w:rsid w:val="00425FF3"/>
    <w:rsid w:val="004349E9"/>
    <w:rsid w:val="00440367"/>
    <w:rsid w:val="00482025"/>
    <w:rsid w:val="00487223"/>
    <w:rsid w:val="00487ADF"/>
    <w:rsid w:val="0049211B"/>
    <w:rsid w:val="004B1FB5"/>
    <w:rsid w:val="004E33F1"/>
    <w:rsid w:val="004F0094"/>
    <w:rsid w:val="004F1D04"/>
    <w:rsid w:val="00531462"/>
    <w:rsid w:val="00531828"/>
    <w:rsid w:val="0053249B"/>
    <w:rsid w:val="0053328B"/>
    <w:rsid w:val="0055094A"/>
    <w:rsid w:val="00551357"/>
    <w:rsid w:val="0057318F"/>
    <w:rsid w:val="005A5606"/>
    <w:rsid w:val="005A6ABE"/>
    <w:rsid w:val="005D3CD6"/>
    <w:rsid w:val="005E0983"/>
    <w:rsid w:val="005E5275"/>
    <w:rsid w:val="005E68DA"/>
    <w:rsid w:val="006077AA"/>
    <w:rsid w:val="00623CBF"/>
    <w:rsid w:val="00627628"/>
    <w:rsid w:val="00642DC9"/>
    <w:rsid w:val="006437D1"/>
    <w:rsid w:val="0064395E"/>
    <w:rsid w:val="006864B7"/>
    <w:rsid w:val="0068655A"/>
    <w:rsid w:val="00687BCB"/>
    <w:rsid w:val="006938DD"/>
    <w:rsid w:val="006B16F2"/>
    <w:rsid w:val="006C2D9D"/>
    <w:rsid w:val="006D754C"/>
    <w:rsid w:val="006E5E29"/>
    <w:rsid w:val="00741B89"/>
    <w:rsid w:val="00762C8F"/>
    <w:rsid w:val="00764A2F"/>
    <w:rsid w:val="0077547F"/>
    <w:rsid w:val="0078184F"/>
    <w:rsid w:val="00796882"/>
    <w:rsid w:val="007A233C"/>
    <w:rsid w:val="007A5B45"/>
    <w:rsid w:val="007A614F"/>
    <w:rsid w:val="007B6BC2"/>
    <w:rsid w:val="007F0B4B"/>
    <w:rsid w:val="0080215F"/>
    <w:rsid w:val="00824BA1"/>
    <w:rsid w:val="00825713"/>
    <w:rsid w:val="00833E05"/>
    <w:rsid w:val="00840B08"/>
    <w:rsid w:val="00841E88"/>
    <w:rsid w:val="00853C7D"/>
    <w:rsid w:val="00854231"/>
    <w:rsid w:val="00860109"/>
    <w:rsid w:val="00871C61"/>
    <w:rsid w:val="00883766"/>
    <w:rsid w:val="00885739"/>
    <w:rsid w:val="00895061"/>
    <w:rsid w:val="008961C8"/>
    <w:rsid w:val="008C2BB5"/>
    <w:rsid w:val="008C3907"/>
    <w:rsid w:val="008C5952"/>
    <w:rsid w:val="008E1E88"/>
    <w:rsid w:val="008E2061"/>
    <w:rsid w:val="0090669C"/>
    <w:rsid w:val="00917B47"/>
    <w:rsid w:val="00920EFE"/>
    <w:rsid w:val="00985E37"/>
    <w:rsid w:val="009B3906"/>
    <w:rsid w:val="009D2E87"/>
    <w:rsid w:val="009E28FE"/>
    <w:rsid w:val="009F6B64"/>
    <w:rsid w:val="00A2154C"/>
    <w:rsid w:val="00A2531A"/>
    <w:rsid w:val="00A256DC"/>
    <w:rsid w:val="00A50F85"/>
    <w:rsid w:val="00A810FB"/>
    <w:rsid w:val="00AC42AB"/>
    <w:rsid w:val="00AF5538"/>
    <w:rsid w:val="00AF5CA9"/>
    <w:rsid w:val="00B00A87"/>
    <w:rsid w:val="00B437BB"/>
    <w:rsid w:val="00B7286A"/>
    <w:rsid w:val="00B76E62"/>
    <w:rsid w:val="00B83D4A"/>
    <w:rsid w:val="00B83F16"/>
    <w:rsid w:val="00BA3092"/>
    <w:rsid w:val="00BE17BD"/>
    <w:rsid w:val="00BE395A"/>
    <w:rsid w:val="00C01829"/>
    <w:rsid w:val="00C2193F"/>
    <w:rsid w:val="00C25FDE"/>
    <w:rsid w:val="00C54042"/>
    <w:rsid w:val="00C54580"/>
    <w:rsid w:val="00C67928"/>
    <w:rsid w:val="00C71342"/>
    <w:rsid w:val="00CA1B6D"/>
    <w:rsid w:val="00CB3FDE"/>
    <w:rsid w:val="00CC4493"/>
    <w:rsid w:val="00CE4354"/>
    <w:rsid w:val="00CE5D2E"/>
    <w:rsid w:val="00CF42F0"/>
    <w:rsid w:val="00D021B0"/>
    <w:rsid w:val="00D241B1"/>
    <w:rsid w:val="00D31EC8"/>
    <w:rsid w:val="00D46F62"/>
    <w:rsid w:val="00DA3366"/>
    <w:rsid w:val="00DA77AC"/>
    <w:rsid w:val="00DD29D1"/>
    <w:rsid w:val="00DE5DFB"/>
    <w:rsid w:val="00DF17A9"/>
    <w:rsid w:val="00E01239"/>
    <w:rsid w:val="00E01241"/>
    <w:rsid w:val="00E03CE4"/>
    <w:rsid w:val="00E05A61"/>
    <w:rsid w:val="00E11270"/>
    <w:rsid w:val="00E24DC4"/>
    <w:rsid w:val="00E27917"/>
    <w:rsid w:val="00E27E35"/>
    <w:rsid w:val="00E54AB3"/>
    <w:rsid w:val="00E604D2"/>
    <w:rsid w:val="00E8213C"/>
    <w:rsid w:val="00EB2764"/>
    <w:rsid w:val="00EB5B90"/>
    <w:rsid w:val="00EB77CA"/>
    <w:rsid w:val="00EC1253"/>
    <w:rsid w:val="00EC7DA1"/>
    <w:rsid w:val="00ED10CC"/>
    <w:rsid w:val="00ED29F6"/>
    <w:rsid w:val="00ED45B3"/>
    <w:rsid w:val="00EE5F33"/>
    <w:rsid w:val="00F1435A"/>
    <w:rsid w:val="00F171C7"/>
    <w:rsid w:val="00F32154"/>
    <w:rsid w:val="00F669EC"/>
    <w:rsid w:val="00F71BFD"/>
    <w:rsid w:val="00F83A24"/>
    <w:rsid w:val="00F941DA"/>
    <w:rsid w:val="00F94804"/>
    <w:rsid w:val="00FA01ED"/>
    <w:rsid w:val="00FA56A9"/>
    <w:rsid w:val="00FB74ED"/>
    <w:rsid w:val="00FC18BD"/>
    <w:rsid w:val="00FC32FA"/>
    <w:rsid w:val="00FC351E"/>
    <w:rsid w:val="00FD5B01"/>
    <w:rsid w:val="00FE132B"/>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510</Words>
  <Characters>2912</Characters>
  <Application>Microsoft Office Word</Application>
  <DocSecurity>0</DocSecurity>
  <Lines>24</Lines>
  <Paragraphs>6</Paragraphs>
  <ScaleCrop>false</ScaleCrop>
  <Company>TURMOB</Company>
  <LinksUpToDate>false</LinksUpToDate>
  <CharactersWithSpaces>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164</cp:revision>
  <dcterms:created xsi:type="dcterms:W3CDTF">2011-07-01T05:43:00Z</dcterms:created>
  <dcterms:modified xsi:type="dcterms:W3CDTF">2011-09-30T05:27:00Z</dcterms:modified>
</cp:coreProperties>
</file>