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E2791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E27917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01 Ekim</w:t>
      </w:r>
      <w:r w:rsidR="004114C2" w:rsidRPr="00E27917">
        <w:rPr>
          <w:b/>
          <w:color w:val="auto"/>
          <w:sz w:val="20"/>
          <w:szCs w:val="20"/>
          <w:u w:val="single"/>
        </w:rPr>
        <w:t xml:space="preserve"> </w:t>
      </w:r>
      <w:r w:rsidR="009F6B64" w:rsidRPr="00E27917">
        <w:rPr>
          <w:b/>
          <w:color w:val="auto"/>
          <w:sz w:val="20"/>
          <w:szCs w:val="20"/>
          <w:u w:val="single"/>
        </w:rPr>
        <w:t>2011 Tarih,</w:t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9F6B64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127623" w:rsidRPr="00E27917">
        <w:rPr>
          <w:b/>
          <w:color w:val="auto"/>
          <w:sz w:val="20"/>
          <w:szCs w:val="20"/>
          <w:u w:val="single"/>
        </w:rPr>
        <w:tab/>
      </w:r>
      <w:r w:rsidR="00A256DC" w:rsidRPr="00E27917">
        <w:rPr>
          <w:b/>
          <w:color w:val="auto"/>
          <w:sz w:val="20"/>
          <w:szCs w:val="20"/>
          <w:u w:val="single"/>
        </w:rPr>
        <w:tab/>
      </w:r>
      <w:r w:rsidR="00FF555D" w:rsidRPr="00E27917">
        <w:rPr>
          <w:b/>
          <w:color w:val="auto"/>
          <w:sz w:val="20"/>
          <w:szCs w:val="20"/>
          <w:u w:val="single"/>
        </w:rPr>
        <w:t>S</w:t>
      </w:r>
      <w:r w:rsidR="00487223" w:rsidRPr="00E27917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71</w:t>
      </w:r>
    </w:p>
    <w:p w:rsidR="00EC7DA1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Vak</w:t>
      </w: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flar Genel M</w:t>
      </w: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  <w:u w:val="single"/>
        </w:rPr>
        <w:t>nden:</w:t>
      </w:r>
    </w:p>
    <w:p w:rsidR="00544B7D" w:rsidRPr="00544B7D" w:rsidRDefault="00544B7D" w:rsidP="00544B7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5737 SAYILI VAKIFLAR KANUNUNUN GE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 11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 MADDES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544B7D" w:rsidRPr="00544B7D" w:rsidRDefault="00544B7D" w:rsidP="00544B7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UYGULANMASINA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44B7D" w:rsidRPr="00544B7D" w:rsidRDefault="00544B7D" w:rsidP="00544B7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</w:p>
    <w:p w:rsidR="00544B7D" w:rsidRPr="00544B7D" w:rsidRDefault="00544B7D" w:rsidP="00544B7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, Kapsam, Dayanak ve Ba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vuru S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544B7D">
        <w:rPr>
          <w:rFonts w:ascii="Times New Roman" w:eastAsia="ヒラギノ明朝 Pro W3" w:hAnsi="Times" w:cs="Times New Roman"/>
          <w:sz w:val="18"/>
          <w:szCs w:val="18"/>
        </w:rPr>
        <w:t>20/2/2008</w:t>
      </w:r>
      <w:proofErr w:type="gram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tarihli ve 5737 say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Kanununun,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yla ilgili ge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ici 11 inci maddesinde yer alan h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mlerin uygulama usul ve esaslar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netmelik; 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1936 Beyannamesinde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olup; malik hanesi 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 olan, kamula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rma, sat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ve trampa 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ndaki nedenlerle Hazine,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, belediye ve il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zel idaresi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olan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ile kamu kurumlar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tescilli olan mezarl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melerinin tapu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ndaki hak ve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kellefiyetleri ile birlikte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tescili ile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veya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vasiyet edildi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 veya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halde, mal edinememe gerek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esiyle Hazine veya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tapuda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 edilen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nmazlardan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slar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Maliye Bakanl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nca tespit edilen rayi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erinin Hazine veya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  <w:proofErr w:type="gramEnd"/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netmelik,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Kanununun ge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ici 11 inci maddesine dayan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vurunun s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Kanununun ge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ici 11 inci maddesinin birinci 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544B7D">
        <w:rPr>
          <w:rFonts w:ascii="Times New Roman" w:eastAsia="ヒラギノ明朝 Pro W3" w:hAnsi="Times" w:cs="Times New Roman"/>
          <w:sz w:val="18"/>
          <w:szCs w:val="18"/>
        </w:rPr>
        <w:t>uyar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nca  yap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lacak</w:t>
      </w:r>
      <w:proofErr w:type="gram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resi   27/8/2011 tarihinden itibaren  on iki ay olup, ikinci 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nca  yap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vurular ise  s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reye tabi de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544B7D" w:rsidRPr="00544B7D" w:rsidRDefault="00544B7D" w:rsidP="00544B7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</w:p>
    <w:p w:rsidR="00544B7D" w:rsidRPr="00544B7D" w:rsidRDefault="00544B7D" w:rsidP="00544B7D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Tescil Edilecek Ta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nmazlar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Tescil edilecek ta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nmazlar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1936 Beyannamesinde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yla; tapuda malik hanesi 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 olan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nmazlar, kamula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rma sat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ve trampa 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ndaki nedenlerle Hazine,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, belediye ve il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zel idaresi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tapuda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nmazlar ile kamu kurumlar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tescilli olup halen bu vas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koruyan mezarl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klar ve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melerdir.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vurunun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ekli ve istenilen belgeler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,  5 inci maddede belirtilen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adlar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tescili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deki formu doldurarak 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daki belgelerle birlikte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u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vururlar.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t>a) Gerek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eli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netim kurulu karar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aretlendi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 1936 Beyannamesi,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nmaza ait tapulama tutana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veya kadastro beyannamesi </w:t>
      </w:r>
      <w:proofErr w:type="gramStart"/>
      <w:r w:rsidRPr="00544B7D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 tapu tedav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erlendirme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vurular,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nce incelenerek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nderilir.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Meclisi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lacak inceleme sonucunda verilecek karar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nce cemaat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tebli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Vakf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 ad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na tescil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nce,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vuruda bulunan cemaat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na, tescilin uygun bulundu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una dair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Meclisi karar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ile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 yetkilisi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zenlenen yetki belgesi verilir.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t>(2)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tescile ili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kin talepleri tapu sicil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nce altm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erisinde sonu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44B7D" w:rsidRPr="00544B7D" w:rsidRDefault="00544B7D" w:rsidP="00544B7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544B7D" w:rsidRPr="00544B7D" w:rsidRDefault="00544B7D" w:rsidP="00544B7D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Bedeli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denecek Ta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nmazlar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Bedeli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denecek ta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nmazlar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veya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vasiyet edildi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 veya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halde, mal edinememe gerek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esiyle Hazine veya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tapuda kaydedilen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nmazlardan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slar ad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olanlard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vurunun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ekli ve istenilen belgeler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Cemaat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9 uncu maddede belirtilen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rayi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erinin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denmesi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deki formu doldurarak 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daki belgelerle birlikte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u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vururlar.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t>a) Gerek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eli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netim kurulu karar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lastRenderedPageBreak/>
        <w:t>b)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 sat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alma yoluyla edinilmi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se sat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almaya ili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kin belgeler,  vasiyet yoluyla edinilmi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se vasiyetname, varsa </w:t>
      </w:r>
      <w:proofErr w:type="spellStart"/>
      <w:r w:rsidRPr="00544B7D">
        <w:rPr>
          <w:rFonts w:ascii="Times New Roman" w:eastAsia="ヒラギノ明朝 Pro W3" w:hAnsi="Times" w:cs="Times New Roman"/>
          <w:sz w:val="18"/>
          <w:szCs w:val="18"/>
        </w:rPr>
        <w:t>tenfiz</w:t>
      </w:r>
      <w:proofErr w:type="spell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yoluyla edinilmi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se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ğışı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tevsik edici belgeler veya mahkeme karar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t>c)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nmaza ait tapulama tutana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veya kadastro beyannamesi </w:t>
      </w:r>
      <w:proofErr w:type="gramStart"/>
      <w:r w:rsidRPr="00544B7D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 tapu tedav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erlendirme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vurular, 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nce incelenerek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nderilir. 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Meclisi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lacak inceleme sonucunda verilecek karar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nce cemaat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tebli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Bedele ili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kin ba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Meclisince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9 uncu madde kapsam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 oldu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u ve bedelinin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denmesi gerekti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gramStart"/>
      <w:r w:rsidRPr="00544B7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nde  tespit</w:t>
      </w:r>
      <w:proofErr w:type="gram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verilmesi halinde,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nce bu karar ile birlikte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demeye esas 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ymet takdirinin yap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u illerde defterdarl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klardan, il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elerde malm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klerinden istenir.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Komisyon ve k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ymet takdiri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rayi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erinin tespiti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zerine; illerde defterdarl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klar, il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elerde malm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kleri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nyesinde </w:t>
      </w:r>
      <w:proofErr w:type="gramStart"/>
      <w:r w:rsidRPr="00544B7D">
        <w:rPr>
          <w:rFonts w:ascii="Times New Roman" w:eastAsia="ヒラギノ明朝 Pro W3" w:hAnsi="Times" w:cs="Times New Roman"/>
          <w:sz w:val="18"/>
          <w:szCs w:val="18"/>
        </w:rPr>
        <w:t>19/6/2007</w:t>
      </w:r>
      <w:proofErr w:type="gram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tarihli ve 26557 say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mlanan Hazine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daresi Hakk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re olu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turulan bedel tespit komisyonlar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r. Rayi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er tespit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lemleri otuz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inde sonu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larak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t>(2) Tespit edilen bedel,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ndan en ge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on be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inde cemaat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tebli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sz w:val="18"/>
          <w:szCs w:val="18"/>
        </w:rPr>
        <w:t>(3) Tespit edilen bedele, tebli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tarihinden itibaren on be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inde gerek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eleri ile birlikte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 itiraz edilebilir. 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proofErr w:type="gramStart"/>
      <w:r w:rsidRPr="00544B7D">
        <w:rPr>
          <w:rFonts w:ascii="Times New Roman" w:eastAsia="ヒラギノ明朝 Pro W3" w:hAnsi="Times" w:cs="Times New Roman"/>
          <w:sz w:val="18"/>
          <w:szCs w:val="18"/>
        </w:rPr>
        <w:t>itirazlar  merkezi</w:t>
      </w:r>
      <w:proofErr w:type="gram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denetim  elemanlar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na incelettirilmek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zere en ge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on be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inde defterdarl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a bildirilir.  Yap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lan itirazlar, en ge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544B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rkbe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proofErr w:type="spell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inde rapora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lanarak, sonucu cemaat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na tebli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edilmek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zere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Bedelin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Tebli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edilen bedel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zerinde uzla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ma sa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halinde veya </w:t>
      </w:r>
      <w:proofErr w:type="spellStart"/>
      <w:proofErr w:type="gramStart"/>
      <w:r w:rsidRPr="00544B7D">
        <w:rPr>
          <w:rFonts w:ascii="Times New Roman" w:eastAsia="ヒラギノ明朝 Pro W3" w:hAnsi="Times" w:cs="Times New Roman"/>
          <w:sz w:val="18"/>
          <w:szCs w:val="18"/>
        </w:rPr>
        <w:t>ihtiraz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î</w:t>
      </w:r>
      <w:proofErr w:type="spell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tla</w:t>
      </w:r>
      <w:proofErr w:type="gramEnd"/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kabul halinde tespit edilen bedel,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 Hazine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ise ilgili defterdarl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k,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ise ilgili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vuru tarihinden itibaren en ge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altm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inde cemaat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544B7D" w:rsidRPr="00544B7D" w:rsidRDefault="00544B7D" w:rsidP="00544B7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</w:p>
    <w:p w:rsidR="00544B7D" w:rsidRPr="00544B7D" w:rsidRDefault="00544B7D" w:rsidP="00544B7D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Tapu sicil m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klerince tapu kay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t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rneklerinin ve di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er belgelerin verilmesi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Tapu sicil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klerince; bu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nda kalan ta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nmazla ilgili tapu kay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rnekleri veya di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er belgeler, talep eden cemaat vakf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yetkilisine veya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b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revlisine verilir.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44B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544B7D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mlerini Vak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u Ba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bakan Yard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44B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44B7D" w:rsidRPr="00544B7D" w:rsidRDefault="00544B7D" w:rsidP="00544B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544B7D" w:rsidRPr="00544B7D" w:rsidRDefault="00544B7D" w:rsidP="00544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44B7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Ek-1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78"/>
        <w:gridCol w:w="2278"/>
        <w:gridCol w:w="3949"/>
      </w:tblGrid>
      <w:tr w:rsidR="00544B7D" w:rsidRPr="00544B7D">
        <w:trPr>
          <w:trHeight w:val="688"/>
          <w:jc w:val="center"/>
        </w:trPr>
        <w:tc>
          <w:tcPr>
            <w:tcW w:w="8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5737 SAYILI VAKIFLAR KANUNUNUN GEÇİCİ 11 İNCİ MADDESİ UYARINCA YAPILACAK MÜRACAAT FORMU</w:t>
            </w:r>
          </w:p>
        </w:tc>
      </w:tr>
      <w:tr w:rsidR="00544B7D" w:rsidRPr="00544B7D">
        <w:trPr>
          <w:trHeight w:val="563"/>
          <w:jc w:val="center"/>
        </w:trPr>
        <w:tc>
          <w:tcPr>
            <w:tcW w:w="8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MÜRACAATI YAPAN CEMAAT VAKFI:</w:t>
            </w:r>
          </w:p>
        </w:tc>
      </w:tr>
      <w:tr w:rsidR="00544B7D" w:rsidRPr="00544B7D">
        <w:trPr>
          <w:trHeight w:val="421"/>
          <w:jc w:val="center"/>
        </w:trPr>
        <w:tc>
          <w:tcPr>
            <w:tcW w:w="8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TAPU VE TAŞINMAZ BİLGİLERİ</w:t>
            </w: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İLİ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İLÇESİ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CADDESİ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SOKAĞI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KAPI NO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ADA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CİNSİ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HİSSE MİKTARI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MALİKİ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394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KAYITLARDA ŞERH OLUP OLMADIĞI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548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FİZİKİ DURUMU VE HALİ HAZIR KULLANIM ŞEKLİ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140"/>
          <w:jc w:val="center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TALEP GEREKÇESİ</w:t>
            </w:r>
          </w:p>
          <w:p w:rsidR="00544B7D" w:rsidRPr="00544B7D" w:rsidRDefault="00544B7D" w:rsidP="00544B7D">
            <w:pPr>
              <w:spacing w:after="0" w:line="1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1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a)1936 Beyannamesi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</w:p>
        </w:tc>
      </w:tr>
      <w:tr w:rsidR="00544B7D" w:rsidRPr="00544B7D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13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Satın alma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</w:p>
        </w:tc>
      </w:tr>
      <w:tr w:rsidR="00544B7D" w:rsidRPr="00544B7D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13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Vasiyet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</w:p>
        </w:tc>
      </w:tr>
      <w:tr w:rsidR="00544B7D" w:rsidRPr="00544B7D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13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Bağış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tr-TR"/>
              </w:rPr>
            </w:pPr>
          </w:p>
        </w:tc>
      </w:tr>
      <w:tr w:rsidR="00544B7D" w:rsidRPr="00544B7D">
        <w:trPr>
          <w:trHeight w:val="548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KİMİN TASARRUFUNDA OLDUĞU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548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DAVA KONUSU OLUP OLMADIĞI VARSA DAVA BİLGİLERİ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548"/>
          <w:jc w:val="center"/>
        </w:trPr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7D" w:rsidRPr="00544B7D" w:rsidRDefault="00544B7D" w:rsidP="00544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5737 SAYILI KANUNUN GEÇİCİ 7. MADDESİ KAPSAMINDA MÜRACAAT EDİLİP EDİLMEDİĞİ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4B7D" w:rsidRPr="00544B7D">
        <w:trPr>
          <w:trHeight w:val="2348"/>
          <w:jc w:val="center"/>
        </w:trPr>
        <w:tc>
          <w:tcPr>
            <w:tcW w:w="8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7D" w:rsidRPr="00544B7D" w:rsidRDefault="00544B7D" w:rsidP="00544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44B7D" w:rsidRPr="00544B7D" w:rsidRDefault="00544B7D" w:rsidP="0054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44B7D" w:rsidRPr="00544B7D" w:rsidRDefault="00544B7D" w:rsidP="00544B7D">
            <w:pPr>
              <w:spacing w:after="0" w:line="240" w:lineRule="auto"/>
              <w:ind w:left="558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VAKIF YETKİLİSİNİN</w:t>
            </w:r>
          </w:p>
          <w:p w:rsidR="00544B7D" w:rsidRPr="00544B7D" w:rsidRDefault="00544B7D" w:rsidP="00544B7D">
            <w:pPr>
              <w:spacing w:after="0" w:line="240" w:lineRule="auto"/>
              <w:ind w:left="55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4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ADI SOYADI VE İMZASI</w:t>
            </w:r>
          </w:p>
        </w:tc>
      </w:tr>
    </w:tbl>
    <w:p w:rsidR="00544B7D" w:rsidRDefault="00544B7D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544B7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EB" w:rsidRDefault="00822AEB" w:rsidP="003A1052">
      <w:pPr>
        <w:spacing w:after="0" w:line="240" w:lineRule="auto"/>
      </w:pPr>
      <w:r>
        <w:separator/>
      </w:r>
    </w:p>
  </w:endnote>
  <w:endnote w:type="continuationSeparator" w:id="0">
    <w:p w:rsidR="00822AEB" w:rsidRDefault="00822AEB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EB" w:rsidRDefault="00822AEB" w:rsidP="003A1052">
      <w:pPr>
        <w:spacing w:after="0" w:line="240" w:lineRule="auto"/>
      </w:pPr>
      <w:r>
        <w:separator/>
      </w:r>
    </w:p>
  </w:footnote>
  <w:footnote w:type="continuationSeparator" w:id="0">
    <w:p w:rsidR="00822AEB" w:rsidRDefault="00822AEB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56351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44B7D"/>
    <w:rsid w:val="0055094A"/>
    <w:rsid w:val="00551357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7286A"/>
    <w:rsid w:val="00B76E62"/>
    <w:rsid w:val="00B83D4A"/>
    <w:rsid w:val="00B83F16"/>
    <w:rsid w:val="00B85E7E"/>
    <w:rsid w:val="00BA3092"/>
    <w:rsid w:val="00BE17BD"/>
    <w:rsid w:val="00BE395A"/>
    <w:rsid w:val="00C01829"/>
    <w:rsid w:val="00C179A9"/>
    <w:rsid w:val="00C2193F"/>
    <w:rsid w:val="00C25FDE"/>
    <w:rsid w:val="00C54042"/>
    <w:rsid w:val="00C54580"/>
    <w:rsid w:val="00C67928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A3366"/>
    <w:rsid w:val="00DA77AC"/>
    <w:rsid w:val="00DD29D1"/>
    <w:rsid w:val="00DE4B95"/>
    <w:rsid w:val="00DE5DFB"/>
    <w:rsid w:val="00DF17A9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B2764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1066</Words>
  <Characters>6078</Characters>
  <Application>Microsoft Office Word</Application>
  <DocSecurity>0</DocSecurity>
  <Lines>50</Lines>
  <Paragraphs>14</Paragraphs>
  <ScaleCrop>false</ScaleCrop>
  <Company>TURMOB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170</cp:revision>
  <dcterms:created xsi:type="dcterms:W3CDTF">2011-07-01T05:43:00Z</dcterms:created>
  <dcterms:modified xsi:type="dcterms:W3CDTF">2011-10-03T05:20:00Z</dcterms:modified>
</cp:coreProperties>
</file>