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3D5D8E" w:rsidRDefault="009F6B64">
      <w:pPr>
        <w:rPr>
          <w:rFonts w:ascii="Times New Roman" w:hAnsi="Times New Roman" w:cs="Times New Roman"/>
          <w:sz w:val="20"/>
          <w:szCs w:val="20"/>
        </w:rPr>
      </w:pPr>
    </w:p>
    <w:p w:rsidR="00A256DC" w:rsidRPr="003D5D8E" w:rsidRDefault="00B04B00" w:rsidP="00A256DC">
      <w:pPr>
        <w:pStyle w:val="NormalWeb"/>
        <w:spacing w:before="0" w:beforeAutospacing="0" w:after="0" w:afterAutospacing="0" w:line="276" w:lineRule="auto"/>
        <w:rPr>
          <w:b/>
          <w:color w:val="auto"/>
          <w:sz w:val="20"/>
          <w:szCs w:val="20"/>
          <w:u w:val="single"/>
        </w:rPr>
      </w:pPr>
      <w:r w:rsidRPr="003D5D8E">
        <w:rPr>
          <w:b/>
          <w:color w:val="auto"/>
          <w:sz w:val="20"/>
          <w:szCs w:val="20"/>
          <w:u w:val="single"/>
        </w:rPr>
        <w:t>0</w:t>
      </w:r>
      <w:r w:rsidR="00D30B8A">
        <w:rPr>
          <w:b/>
          <w:color w:val="auto"/>
          <w:sz w:val="20"/>
          <w:szCs w:val="20"/>
          <w:u w:val="single"/>
        </w:rPr>
        <w:t>9</w:t>
      </w:r>
      <w:r w:rsidRPr="003D5D8E">
        <w:rPr>
          <w:b/>
          <w:color w:val="auto"/>
          <w:sz w:val="20"/>
          <w:szCs w:val="20"/>
          <w:u w:val="single"/>
        </w:rPr>
        <w:t xml:space="preserve"> Ekim</w:t>
      </w:r>
      <w:r w:rsidR="004114C2" w:rsidRPr="003D5D8E">
        <w:rPr>
          <w:b/>
          <w:color w:val="auto"/>
          <w:sz w:val="20"/>
          <w:szCs w:val="20"/>
          <w:u w:val="single"/>
        </w:rPr>
        <w:t xml:space="preserve"> </w:t>
      </w:r>
      <w:r w:rsidR="009F6B64" w:rsidRPr="003D5D8E">
        <w:rPr>
          <w:b/>
          <w:color w:val="auto"/>
          <w:sz w:val="20"/>
          <w:szCs w:val="20"/>
          <w:u w:val="single"/>
        </w:rPr>
        <w:t>2011 Tarih,</w:t>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9F6B64" w:rsidRPr="003D5D8E">
        <w:rPr>
          <w:b/>
          <w:color w:val="auto"/>
          <w:sz w:val="20"/>
          <w:szCs w:val="20"/>
          <w:u w:val="single"/>
        </w:rPr>
        <w:tab/>
      </w:r>
      <w:r w:rsidR="00127623" w:rsidRPr="003D5D8E">
        <w:rPr>
          <w:b/>
          <w:color w:val="auto"/>
          <w:sz w:val="20"/>
          <w:szCs w:val="20"/>
          <w:u w:val="single"/>
        </w:rPr>
        <w:tab/>
      </w:r>
      <w:r w:rsidR="00127623" w:rsidRPr="003D5D8E">
        <w:rPr>
          <w:b/>
          <w:color w:val="auto"/>
          <w:sz w:val="20"/>
          <w:szCs w:val="20"/>
          <w:u w:val="single"/>
        </w:rPr>
        <w:tab/>
      </w:r>
      <w:r w:rsidR="00A256DC" w:rsidRPr="003D5D8E">
        <w:rPr>
          <w:b/>
          <w:color w:val="auto"/>
          <w:sz w:val="20"/>
          <w:szCs w:val="20"/>
          <w:u w:val="single"/>
        </w:rPr>
        <w:tab/>
      </w:r>
      <w:r w:rsidR="00FF555D" w:rsidRPr="003D5D8E">
        <w:rPr>
          <w:b/>
          <w:color w:val="auto"/>
          <w:sz w:val="20"/>
          <w:szCs w:val="20"/>
          <w:u w:val="single"/>
        </w:rPr>
        <w:t>S</w:t>
      </w:r>
      <w:r w:rsidR="00487223" w:rsidRPr="003D5D8E">
        <w:rPr>
          <w:b/>
          <w:color w:val="auto"/>
          <w:sz w:val="20"/>
          <w:szCs w:val="20"/>
          <w:u w:val="single"/>
        </w:rPr>
        <w:t>ayı: 280</w:t>
      </w:r>
      <w:r w:rsidR="00D30B8A">
        <w:rPr>
          <w:b/>
          <w:color w:val="auto"/>
          <w:sz w:val="20"/>
          <w:szCs w:val="20"/>
          <w:u w:val="single"/>
        </w:rPr>
        <w:t>79</w:t>
      </w:r>
    </w:p>
    <w:p w:rsidR="00343EC7" w:rsidRDefault="00343EC7" w:rsidP="00343EC7">
      <w:pPr>
        <w:widowControl w:val="0"/>
        <w:spacing w:after="0" w:line="240" w:lineRule="auto"/>
        <w:jc w:val="both"/>
        <w:rPr>
          <w:rFonts w:ascii="Times New Roman" w:eastAsia="Times New Roman" w:hAnsi="Times New Roman" w:cs="Times New Roman"/>
          <w:sz w:val="18"/>
          <w:szCs w:val="18"/>
          <w:lang w:eastAsia="tr-TR"/>
        </w:rPr>
      </w:pPr>
    </w:p>
    <w:p w:rsidR="00605BA2" w:rsidRPr="00605BA2" w:rsidRDefault="00605BA2" w:rsidP="00605BA2">
      <w:pPr>
        <w:shd w:val="clear" w:color="auto" w:fill="FFFFFF"/>
        <w:adjustRightInd w:val="0"/>
        <w:spacing w:after="0" w:line="240" w:lineRule="exact"/>
        <w:ind w:firstLine="567"/>
        <w:rPr>
          <w:rFonts w:ascii="Times New Roman" w:eastAsia="Times New Roman" w:hAnsi="Times New Roman" w:cs="Times New Roman"/>
          <w:sz w:val="18"/>
          <w:szCs w:val="18"/>
          <w:lang w:eastAsia="tr-TR"/>
        </w:rPr>
      </w:pPr>
      <w:r w:rsidRPr="00605BA2">
        <w:rPr>
          <w:rFonts w:ascii="Times New Roman" w:eastAsia="Times New Roman" w:hAnsi="Times New Roman" w:cs="Times New Roman"/>
          <w:color w:val="000000"/>
          <w:sz w:val="18"/>
          <w:szCs w:val="18"/>
          <w:u w:val="single"/>
          <w:lang w:eastAsia="tr-TR"/>
        </w:rPr>
        <w:t>Sermaye Piyasası Kurulundan:</w:t>
      </w:r>
    </w:p>
    <w:p w:rsidR="00605BA2" w:rsidRPr="00605BA2" w:rsidRDefault="00605BA2" w:rsidP="00605BA2">
      <w:pPr>
        <w:shd w:val="clear" w:color="auto" w:fill="FFFFFF"/>
        <w:adjustRightInd w:val="0"/>
        <w:spacing w:before="100" w:after="0" w:line="240" w:lineRule="exact"/>
        <w:jc w:val="center"/>
        <w:rPr>
          <w:rFonts w:ascii="Times New Roman" w:eastAsia="Times New Roman" w:hAnsi="Times New Roman" w:cs="Times New Roman"/>
          <w:sz w:val="18"/>
          <w:szCs w:val="18"/>
          <w:lang w:eastAsia="tr-TR"/>
        </w:rPr>
      </w:pPr>
      <w:r w:rsidRPr="00605BA2">
        <w:rPr>
          <w:rFonts w:ascii="Times New Roman" w:eastAsia="Times New Roman" w:hAnsi="Times New Roman" w:cs="Times New Roman"/>
          <w:b/>
          <w:bCs/>
          <w:color w:val="000000"/>
          <w:sz w:val="18"/>
          <w:szCs w:val="18"/>
          <w:lang w:eastAsia="tr-TR"/>
        </w:rPr>
        <w:t xml:space="preserve">MENKUL KIYMET YATIRIM ORTAKLIKLARINA İLİŞKİN ESASLAR TEBLİĞİNDE </w:t>
      </w:r>
      <w:r w:rsidRPr="00605BA2">
        <w:rPr>
          <w:rFonts w:ascii="Times New Roman" w:eastAsia="Times New Roman" w:hAnsi="Times New Roman" w:cs="Times New Roman"/>
          <w:b/>
          <w:bCs/>
          <w:color w:val="000000"/>
          <w:sz w:val="18"/>
          <w:szCs w:val="18"/>
          <w:lang w:eastAsia="tr-TR"/>
        </w:rPr>
        <w:br/>
        <w:t>DEĞİŞİKLİK YAPILMASINA DAİR TEBLİĞ</w:t>
      </w:r>
    </w:p>
    <w:p w:rsidR="00605BA2" w:rsidRPr="00605BA2" w:rsidRDefault="00605BA2" w:rsidP="00605BA2">
      <w:pPr>
        <w:shd w:val="clear" w:color="auto" w:fill="FFFFFF"/>
        <w:adjustRightInd w:val="0"/>
        <w:spacing w:after="100" w:line="240" w:lineRule="exact"/>
        <w:jc w:val="center"/>
        <w:rPr>
          <w:rFonts w:ascii="Times New Roman" w:eastAsia="Times New Roman" w:hAnsi="Times New Roman" w:cs="Times New Roman"/>
          <w:sz w:val="18"/>
          <w:szCs w:val="18"/>
          <w:lang w:eastAsia="tr-TR"/>
        </w:rPr>
      </w:pPr>
      <w:r w:rsidRPr="00605BA2">
        <w:rPr>
          <w:rFonts w:ascii="Times New Roman" w:eastAsia="Times New Roman" w:hAnsi="Times New Roman" w:cs="Times New Roman"/>
          <w:b/>
          <w:bCs/>
          <w:color w:val="000000"/>
          <w:sz w:val="18"/>
          <w:szCs w:val="18"/>
          <w:lang w:eastAsia="tr-TR"/>
        </w:rPr>
        <w:t>(SERİ: VI, NO: 31)</w:t>
      </w:r>
    </w:p>
    <w:p w:rsidR="00605BA2" w:rsidRPr="00605BA2" w:rsidRDefault="00605BA2" w:rsidP="00605BA2">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605BA2">
        <w:rPr>
          <w:rFonts w:ascii="Times New Roman" w:eastAsia="Times New Roman" w:hAnsi="Times New Roman" w:cs="Times New Roman"/>
          <w:b/>
          <w:bCs/>
          <w:color w:val="000000"/>
          <w:sz w:val="18"/>
          <w:szCs w:val="18"/>
          <w:lang w:eastAsia="tr-TR"/>
        </w:rPr>
        <w:t xml:space="preserve">MADDE 1 </w:t>
      </w:r>
      <w:r w:rsidRPr="00605BA2">
        <w:rPr>
          <w:rFonts w:ascii="Cambria Math" w:eastAsia="Times New Roman" w:hAnsi="Cambria Math" w:cs="Cambria Math"/>
          <w:b/>
          <w:sz w:val="18"/>
          <w:szCs w:val="18"/>
          <w:lang w:eastAsia="tr-TR"/>
        </w:rPr>
        <w:t>‒</w:t>
      </w:r>
      <w:r w:rsidRPr="00605BA2">
        <w:rPr>
          <w:rFonts w:ascii="Times New Roman" w:eastAsia="Times New Roman" w:hAnsi="Times New Roman" w:cs="Times New Roman"/>
          <w:color w:val="000000"/>
          <w:sz w:val="18"/>
          <w:szCs w:val="18"/>
          <w:lang w:eastAsia="tr-TR"/>
        </w:rPr>
        <w:t xml:space="preserve"> </w:t>
      </w:r>
      <w:proofErr w:type="gramStart"/>
      <w:r w:rsidRPr="00605BA2">
        <w:rPr>
          <w:rFonts w:ascii="Times New Roman" w:eastAsia="Times New Roman" w:hAnsi="Times New Roman" w:cs="Times New Roman"/>
          <w:color w:val="000000"/>
          <w:sz w:val="18"/>
          <w:szCs w:val="18"/>
          <w:lang w:eastAsia="tr-TR"/>
        </w:rPr>
        <w:t>5/8/2011</w:t>
      </w:r>
      <w:proofErr w:type="gramEnd"/>
      <w:r w:rsidRPr="00605BA2">
        <w:rPr>
          <w:rFonts w:ascii="Times New Roman" w:eastAsia="Times New Roman" w:hAnsi="Times New Roman" w:cs="Times New Roman"/>
          <w:color w:val="000000"/>
          <w:sz w:val="18"/>
          <w:szCs w:val="18"/>
          <w:lang w:eastAsia="tr-TR"/>
        </w:rPr>
        <w:t xml:space="preserve"> tarihli ve 28016 sayılı Resmî Gazete'de yayımlanan Seri: VI, No: 30 sayılı Menkul Kıymet Yatırım Ortaklıklarına İlişkin Esaslar Tebliğinin 17 </w:t>
      </w:r>
      <w:proofErr w:type="spellStart"/>
      <w:r w:rsidRPr="00605BA2">
        <w:rPr>
          <w:rFonts w:ascii="Times New Roman" w:eastAsia="Times New Roman" w:hAnsi="Times New Roman" w:cs="Times New Roman"/>
          <w:color w:val="000000"/>
          <w:sz w:val="18"/>
          <w:szCs w:val="18"/>
          <w:lang w:eastAsia="tr-TR"/>
        </w:rPr>
        <w:t>nci</w:t>
      </w:r>
      <w:proofErr w:type="spellEnd"/>
      <w:r w:rsidRPr="00605BA2">
        <w:rPr>
          <w:rFonts w:ascii="Times New Roman" w:eastAsia="Times New Roman" w:hAnsi="Times New Roman" w:cs="Times New Roman"/>
          <w:color w:val="000000"/>
          <w:sz w:val="18"/>
          <w:szCs w:val="18"/>
          <w:lang w:eastAsia="tr-TR"/>
        </w:rPr>
        <w:t xml:space="preserve"> maddesinin birinci, ikinci ve dördüncü fıkraları aşağıdaki şekilde değiştirilmiş ve aynı maddeye sekizinci fıkra olarak aşağıdaki fıkra eklenmiştir.</w:t>
      </w:r>
    </w:p>
    <w:p w:rsidR="00605BA2" w:rsidRPr="00605BA2" w:rsidRDefault="00605BA2" w:rsidP="00605BA2">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605BA2">
        <w:rPr>
          <w:rFonts w:ascii="Times New Roman" w:eastAsia="Times New Roman" w:hAnsi="Times New Roman" w:cs="Times New Roman"/>
          <w:color w:val="000000"/>
          <w:sz w:val="18"/>
          <w:szCs w:val="18"/>
          <w:lang w:eastAsia="tr-TR"/>
        </w:rPr>
        <w:t xml:space="preserve">"(1) Ortaklıklar, yeterli sayıda personel istihdam etmek kaydıyla kendi portföylerini yönetebilecekleri gibi, </w:t>
      </w:r>
      <w:proofErr w:type="gramStart"/>
      <w:r w:rsidRPr="00605BA2">
        <w:rPr>
          <w:rFonts w:ascii="Times New Roman" w:eastAsia="Times New Roman" w:hAnsi="Times New Roman" w:cs="Times New Roman"/>
          <w:color w:val="000000"/>
          <w:sz w:val="18"/>
          <w:szCs w:val="18"/>
          <w:lang w:eastAsia="tr-TR"/>
        </w:rPr>
        <w:t>portföy</w:t>
      </w:r>
      <w:proofErr w:type="gramEnd"/>
      <w:r w:rsidRPr="00605BA2">
        <w:rPr>
          <w:rFonts w:ascii="Times New Roman" w:eastAsia="Times New Roman" w:hAnsi="Times New Roman" w:cs="Times New Roman"/>
          <w:color w:val="000000"/>
          <w:sz w:val="18"/>
          <w:szCs w:val="18"/>
          <w:lang w:eastAsia="tr-TR"/>
        </w:rPr>
        <w:t xml:space="preserve"> yönetim hizmetini imzalanan bir sözleşme ve Kurulun portföy yöneticiliğine ilişkin düzenlemeleri çerçevesinde portföy yöneticiliği yetki belgesine sahip kurumlardan da sağlayabilirler.</w:t>
      </w:r>
    </w:p>
    <w:p w:rsidR="00605BA2" w:rsidRPr="00605BA2" w:rsidRDefault="00605BA2" w:rsidP="00605BA2">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605BA2">
        <w:rPr>
          <w:rFonts w:ascii="Times New Roman" w:eastAsia="Times New Roman" w:hAnsi="Times New Roman" w:cs="Times New Roman"/>
          <w:color w:val="000000"/>
          <w:sz w:val="18"/>
          <w:szCs w:val="18"/>
          <w:lang w:eastAsia="tr-TR"/>
        </w:rPr>
        <w:t xml:space="preserve">(2) Portföy yönetim hizmetinin imzalanan bir sözleşme ile dışarıdan sağlanmadığı durumda, ortaklıklar nezdinde Kurulun lisanslama ve sicil tutmaya ilişkin düzenlemeleri çerçevesinde lisans belgesine sahip yeterli sayıda </w:t>
      </w:r>
      <w:proofErr w:type="gramStart"/>
      <w:r w:rsidRPr="00605BA2">
        <w:rPr>
          <w:rFonts w:ascii="Times New Roman" w:eastAsia="Times New Roman" w:hAnsi="Times New Roman" w:cs="Times New Roman"/>
          <w:color w:val="000000"/>
          <w:sz w:val="18"/>
          <w:szCs w:val="18"/>
          <w:lang w:eastAsia="tr-TR"/>
        </w:rPr>
        <w:t>portföy</w:t>
      </w:r>
      <w:proofErr w:type="gramEnd"/>
      <w:r w:rsidRPr="00605BA2">
        <w:rPr>
          <w:rFonts w:ascii="Times New Roman" w:eastAsia="Times New Roman" w:hAnsi="Times New Roman" w:cs="Times New Roman"/>
          <w:color w:val="000000"/>
          <w:sz w:val="18"/>
          <w:szCs w:val="18"/>
          <w:lang w:eastAsia="tr-TR"/>
        </w:rPr>
        <w:t xml:space="preserve"> yöneticisi istihdam edilmesi, portföy yönetimi karar alma sürecine ilişkin yazılı bir prosedür oluşturulması ve kararlara dayanak teşkil eden bilgi ve belgelerin ortaklıkların merkezinde en az 5 yıl süreyle saklanması gerekmektedir. Bu durumda Kuruldan yatırım danışmanlığı yetki belgesi almış bir kurumdan imzalanan bir sözleşme ve Kurulun yatırım danışmanlığına ilişkin düzenlemeleri çerçevesinde yatırım danışmanlığı hizmeti sağlanabilir.</w:t>
      </w:r>
    </w:p>
    <w:p w:rsidR="00605BA2" w:rsidRPr="00605BA2" w:rsidRDefault="00605BA2" w:rsidP="00605BA2">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605BA2">
        <w:rPr>
          <w:rFonts w:ascii="Times New Roman" w:eastAsia="Times New Roman" w:hAnsi="Times New Roman" w:cs="Times New Roman"/>
          <w:color w:val="000000"/>
          <w:sz w:val="18"/>
          <w:szCs w:val="18"/>
          <w:lang w:eastAsia="tr-TR"/>
        </w:rPr>
        <w:t>(4) Ortaklıkların bu maddenin birinci, ikinci ve üçüncü fıkrasında belirtilen ve ortaklık dışından sağlanan hizmetler ve personel için ödedikleri yıllık komisyon ve ücretlerin toplamı, ortaklığın ilgili yıl için hesaplanan ortalama net aktif değerinin %2'sini geçemez.</w:t>
      </w:r>
    </w:p>
    <w:p w:rsidR="00605BA2" w:rsidRPr="00605BA2" w:rsidRDefault="00605BA2" w:rsidP="00605BA2">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605BA2">
        <w:rPr>
          <w:rFonts w:ascii="Times New Roman" w:eastAsia="Times New Roman" w:hAnsi="Times New Roman" w:cs="Times New Roman"/>
          <w:color w:val="000000"/>
          <w:sz w:val="18"/>
          <w:szCs w:val="18"/>
          <w:lang w:eastAsia="tr-TR"/>
        </w:rPr>
        <w:t xml:space="preserve">(8) Ortaklığın portföyü ile ilgili aracılık hizmetleri, </w:t>
      </w:r>
      <w:proofErr w:type="gramStart"/>
      <w:r w:rsidRPr="00605BA2">
        <w:rPr>
          <w:rFonts w:ascii="Times New Roman" w:eastAsia="Times New Roman" w:hAnsi="Times New Roman" w:cs="Times New Roman"/>
          <w:color w:val="000000"/>
          <w:sz w:val="18"/>
          <w:szCs w:val="18"/>
          <w:lang w:eastAsia="tr-TR"/>
        </w:rPr>
        <w:t>portföy</w:t>
      </w:r>
      <w:proofErr w:type="gramEnd"/>
      <w:r w:rsidRPr="00605BA2">
        <w:rPr>
          <w:rFonts w:ascii="Times New Roman" w:eastAsia="Times New Roman" w:hAnsi="Times New Roman" w:cs="Times New Roman"/>
          <w:color w:val="000000"/>
          <w:sz w:val="18"/>
          <w:szCs w:val="18"/>
          <w:lang w:eastAsia="tr-TR"/>
        </w:rPr>
        <w:t xml:space="preserve"> yöneticiliği veya yatırım danışmanlığı hizmeti alınan kurumdan sağlanamaz."</w:t>
      </w:r>
    </w:p>
    <w:p w:rsidR="00605BA2" w:rsidRPr="00605BA2" w:rsidRDefault="00605BA2" w:rsidP="00605BA2">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605BA2">
        <w:rPr>
          <w:rFonts w:ascii="Times New Roman" w:eastAsia="Times New Roman" w:hAnsi="Times New Roman" w:cs="Times New Roman"/>
          <w:b/>
          <w:bCs/>
          <w:color w:val="000000"/>
          <w:sz w:val="18"/>
          <w:szCs w:val="18"/>
          <w:lang w:eastAsia="tr-TR"/>
        </w:rPr>
        <w:t xml:space="preserve">MADDE 2 </w:t>
      </w:r>
      <w:r w:rsidRPr="00605BA2">
        <w:rPr>
          <w:rFonts w:ascii="Cambria Math" w:eastAsia="Times New Roman" w:hAnsi="Cambria Math" w:cs="Cambria Math"/>
          <w:b/>
          <w:bCs/>
          <w:sz w:val="18"/>
          <w:szCs w:val="18"/>
          <w:lang w:eastAsia="tr-TR"/>
        </w:rPr>
        <w:t>‒</w:t>
      </w:r>
      <w:r w:rsidRPr="00605BA2">
        <w:rPr>
          <w:rFonts w:ascii="Times New Roman" w:eastAsia="Times New Roman" w:hAnsi="Times New Roman" w:cs="Times New Roman"/>
          <w:color w:val="000000"/>
          <w:sz w:val="18"/>
          <w:szCs w:val="18"/>
          <w:lang w:eastAsia="tr-TR"/>
        </w:rPr>
        <w:t xml:space="preserve"> Aynı Tebliğe Geçici 2 </w:t>
      </w:r>
      <w:proofErr w:type="spellStart"/>
      <w:r w:rsidRPr="00605BA2">
        <w:rPr>
          <w:rFonts w:ascii="Times New Roman" w:eastAsia="Times New Roman" w:hAnsi="Times New Roman" w:cs="Times New Roman"/>
          <w:color w:val="000000"/>
          <w:sz w:val="18"/>
          <w:szCs w:val="18"/>
          <w:lang w:eastAsia="tr-TR"/>
        </w:rPr>
        <w:t>nci</w:t>
      </w:r>
      <w:proofErr w:type="spellEnd"/>
      <w:r w:rsidRPr="00605BA2">
        <w:rPr>
          <w:rFonts w:ascii="Times New Roman" w:eastAsia="Times New Roman" w:hAnsi="Times New Roman" w:cs="Times New Roman"/>
          <w:color w:val="000000"/>
          <w:sz w:val="18"/>
          <w:szCs w:val="18"/>
          <w:lang w:eastAsia="tr-TR"/>
        </w:rPr>
        <w:t xml:space="preserve"> madde olarak aşağıdaki madde eklenmiştir.</w:t>
      </w:r>
    </w:p>
    <w:p w:rsidR="00605BA2" w:rsidRPr="00605BA2" w:rsidRDefault="00605BA2" w:rsidP="00605BA2">
      <w:pPr>
        <w:spacing w:after="0" w:line="240" w:lineRule="exact"/>
        <w:ind w:firstLine="567"/>
        <w:jc w:val="both"/>
        <w:rPr>
          <w:rFonts w:ascii="Times New Roman" w:eastAsia="Times New Roman" w:hAnsi="Times New Roman" w:cs="Times New Roman"/>
          <w:color w:val="000000"/>
          <w:sz w:val="18"/>
          <w:szCs w:val="18"/>
          <w:lang w:eastAsia="tr-TR"/>
        </w:rPr>
      </w:pPr>
      <w:r w:rsidRPr="00605BA2">
        <w:rPr>
          <w:rFonts w:ascii="Times New Roman" w:eastAsia="Times New Roman" w:hAnsi="Times New Roman" w:cs="Times New Roman"/>
          <w:b/>
          <w:bCs/>
          <w:color w:val="000000"/>
          <w:sz w:val="18"/>
          <w:szCs w:val="18"/>
          <w:lang w:eastAsia="tr-TR"/>
        </w:rPr>
        <w:t xml:space="preserve">"GEÇİCİ MADDE 2 </w:t>
      </w:r>
      <w:r w:rsidRPr="00605BA2">
        <w:rPr>
          <w:rFonts w:ascii="Cambria Math" w:eastAsia="Times New Roman" w:hAnsi="Cambria Math" w:cs="Cambria Math"/>
          <w:b/>
          <w:bCs/>
          <w:sz w:val="18"/>
          <w:szCs w:val="18"/>
          <w:lang w:eastAsia="tr-TR"/>
        </w:rPr>
        <w:t>‒</w:t>
      </w:r>
      <w:r w:rsidRPr="00605BA2">
        <w:rPr>
          <w:rFonts w:ascii="Times New Roman" w:eastAsia="Times New Roman" w:hAnsi="Times New Roman" w:cs="Times New Roman"/>
          <w:color w:val="000000"/>
          <w:sz w:val="18"/>
          <w:szCs w:val="18"/>
          <w:lang w:eastAsia="tr-TR"/>
        </w:rPr>
        <w:t xml:space="preserve"> (1) Bu Tebliğin yayım tarihinden önce menkul kıymet yatırım ortaklığı statüsünü kazanmış ortaklıkların, bu Tebliğin 17 </w:t>
      </w:r>
      <w:proofErr w:type="spellStart"/>
      <w:r w:rsidRPr="00605BA2">
        <w:rPr>
          <w:rFonts w:ascii="Times New Roman" w:eastAsia="Times New Roman" w:hAnsi="Times New Roman" w:cs="Times New Roman"/>
          <w:color w:val="000000"/>
          <w:sz w:val="18"/>
          <w:szCs w:val="18"/>
          <w:lang w:eastAsia="tr-TR"/>
        </w:rPr>
        <w:t>nci</w:t>
      </w:r>
      <w:proofErr w:type="spellEnd"/>
      <w:r w:rsidRPr="00605BA2">
        <w:rPr>
          <w:rFonts w:ascii="Times New Roman" w:eastAsia="Times New Roman" w:hAnsi="Times New Roman" w:cs="Times New Roman"/>
          <w:color w:val="000000"/>
          <w:sz w:val="18"/>
          <w:szCs w:val="18"/>
          <w:lang w:eastAsia="tr-TR"/>
        </w:rPr>
        <w:t xml:space="preserve"> maddesinin sekizinci fıkrası hükmüne </w:t>
      </w:r>
      <w:proofErr w:type="gramStart"/>
      <w:r w:rsidRPr="00605BA2">
        <w:rPr>
          <w:rFonts w:ascii="Times New Roman" w:eastAsia="Times New Roman" w:hAnsi="Times New Roman" w:cs="Times New Roman"/>
          <w:color w:val="000000"/>
          <w:sz w:val="18"/>
          <w:szCs w:val="18"/>
          <w:lang w:eastAsia="tr-TR"/>
        </w:rPr>
        <w:t>1/1/2013</w:t>
      </w:r>
      <w:proofErr w:type="gramEnd"/>
      <w:r w:rsidRPr="00605BA2">
        <w:rPr>
          <w:rFonts w:ascii="Times New Roman" w:eastAsia="Times New Roman" w:hAnsi="Times New Roman" w:cs="Times New Roman"/>
          <w:color w:val="000000"/>
          <w:sz w:val="18"/>
          <w:szCs w:val="18"/>
          <w:lang w:eastAsia="tr-TR"/>
        </w:rPr>
        <w:t xml:space="preserve"> tarihi itibarıyla uyum sağlamaları gerekmektedir."</w:t>
      </w:r>
    </w:p>
    <w:p w:rsidR="00605BA2" w:rsidRPr="00605BA2" w:rsidRDefault="00605BA2" w:rsidP="00605BA2">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605BA2">
        <w:rPr>
          <w:rFonts w:ascii="Times New Roman" w:eastAsia="Times New Roman" w:hAnsi="Times New Roman" w:cs="Times New Roman"/>
          <w:b/>
          <w:bCs/>
          <w:color w:val="000000"/>
          <w:sz w:val="18"/>
          <w:szCs w:val="18"/>
          <w:lang w:eastAsia="tr-TR"/>
        </w:rPr>
        <w:t xml:space="preserve">MADDE 3 </w:t>
      </w:r>
      <w:r w:rsidRPr="00605BA2">
        <w:rPr>
          <w:rFonts w:ascii="Cambria Math" w:eastAsia="Times New Roman" w:hAnsi="Cambria Math" w:cs="Cambria Math"/>
          <w:b/>
          <w:bCs/>
          <w:sz w:val="18"/>
          <w:szCs w:val="18"/>
          <w:lang w:eastAsia="tr-TR"/>
        </w:rPr>
        <w:t>‒</w:t>
      </w:r>
      <w:r w:rsidRPr="00605BA2">
        <w:rPr>
          <w:rFonts w:ascii="Times New Roman" w:eastAsia="Times New Roman" w:hAnsi="Times New Roman" w:cs="Times New Roman"/>
          <w:color w:val="000000"/>
          <w:sz w:val="18"/>
          <w:szCs w:val="18"/>
          <w:lang w:eastAsia="tr-TR"/>
        </w:rPr>
        <w:t xml:space="preserve"> Bu Tebliğ yayımı tarihinde yürürlüğe girer.</w:t>
      </w:r>
    </w:p>
    <w:p w:rsidR="00605BA2" w:rsidRPr="00605BA2" w:rsidRDefault="00605BA2" w:rsidP="00605BA2">
      <w:pPr>
        <w:spacing w:after="0" w:line="240" w:lineRule="exact"/>
        <w:ind w:firstLine="567"/>
        <w:jc w:val="both"/>
        <w:rPr>
          <w:rFonts w:ascii="Times New Roman" w:eastAsia="Times New Roman" w:hAnsi="Times New Roman" w:cs="Times New Roman"/>
          <w:sz w:val="18"/>
          <w:szCs w:val="18"/>
          <w:lang w:eastAsia="tr-TR"/>
        </w:rPr>
      </w:pPr>
      <w:r w:rsidRPr="00605BA2">
        <w:rPr>
          <w:rFonts w:ascii="Times New Roman" w:eastAsia="Times New Roman" w:hAnsi="Times New Roman" w:cs="Times New Roman"/>
          <w:b/>
          <w:bCs/>
          <w:color w:val="000000"/>
          <w:sz w:val="18"/>
          <w:szCs w:val="18"/>
          <w:lang w:eastAsia="tr-TR"/>
        </w:rPr>
        <w:t xml:space="preserve">MADDE 4 </w:t>
      </w:r>
      <w:r w:rsidRPr="00605BA2">
        <w:rPr>
          <w:rFonts w:ascii="Cambria Math" w:eastAsia="Times New Roman" w:hAnsi="Cambria Math" w:cs="Cambria Math"/>
          <w:b/>
          <w:bCs/>
          <w:sz w:val="18"/>
          <w:szCs w:val="18"/>
          <w:lang w:eastAsia="tr-TR"/>
        </w:rPr>
        <w:t>‒</w:t>
      </w:r>
      <w:r w:rsidRPr="00605BA2">
        <w:rPr>
          <w:rFonts w:ascii="Times New Roman" w:eastAsia="Times New Roman" w:hAnsi="Times New Roman" w:cs="Times New Roman"/>
          <w:color w:val="000000"/>
          <w:sz w:val="18"/>
          <w:szCs w:val="18"/>
          <w:lang w:eastAsia="tr-TR"/>
        </w:rPr>
        <w:t xml:space="preserve"> Bu Tebliğ hükümlerini Sermaye Piyasası Kurulu yürütür.</w:t>
      </w:r>
    </w:p>
    <w:p w:rsidR="00605BA2" w:rsidRPr="00605BA2" w:rsidRDefault="00605BA2" w:rsidP="00605BA2">
      <w:pPr>
        <w:spacing w:before="100" w:beforeAutospacing="1" w:after="100" w:afterAutospacing="1" w:line="240" w:lineRule="auto"/>
        <w:jc w:val="center"/>
        <w:rPr>
          <w:rFonts w:ascii="Arial" w:eastAsia="Times New Roman" w:hAnsi="Arial" w:cs="Arial"/>
          <w:b/>
          <w:color w:val="000080"/>
          <w:sz w:val="18"/>
          <w:szCs w:val="18"/>
          <w:lang w:eastAsia="tr-TR"/>
        </w:rPr>
      </w:pPr>
    </w:p>
    <w:p w:rsidR="00605BA2" w:rsidRDefault="00605BA2" w:rsidP="00343EC7">
      <w:pPr>
        <w:widowControl w:val="0"/>
        <w:spacing w:after="0" w:line="240" w:lineRule="auto"/>
        <w:jc w:val="both"/>
        <w:rPr>
          <w:rFonts w:ascii="Times New Roman" w:eastAsia="Times New Roman" w:hAnsi="Times New Roman" w:cs="Times New Roman"/>
          <w:sz w:val="18"/>
          <w:szCs w:val="18"/>
          <w:lang w:eastAsia="tr-TR"/>
        </w:rPr>
      </w:pPr>
    </w:p>
    <w:sectPr w:rsidR="00605BA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0E8" w:rsidRDefault="000270E8" w:rsidP="003A1052">
      <w:pPr>
        <w:spacing w:after="0" w:line="240" w:lineRule="auto"/>
      </w:pPr>
      <w:r>
        <w:separator/>
      </w:r>
    </w:p>
  </w:endnote>
  <w:endnote w:type="continuationSeparator" w:id="0">
    <w:p w:rsidR="000270E8" w:rsidRDefault="000270E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Math">
    <w:panose1 w:val="02040503050406030204"/>
    <w:charset w:val="A2"/>
    <w:family w:val="roman"/>
    <w:pitch w:val="variable"/>
    <w:sig w:usb0="A00002EF" w:usb1="420020EB" w:usb2="00000000" w:usb3="00000000" w:csb0="0000009F"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0E8" w:rsidRDefault="000270E8" w:rsidP="003A1052">
      <w:pPr>
        <w:spacing w:after="0" w:line="240" w:lineRule="auto"/>
      </w:pPr>
      <w:r>
        <w:separator/>
      </w:r>
    </w:p>
  </w:footnote>
  <w:footnote w:type="continuationSeparator" w:id="0">
    <w:p w:rsidR="000270E8" w:rsidRDefault="000270E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A59"/>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F5DD8"/>
    <w:rsid w:val="003076AD"/>
    <w:rsid w:val="003077B7"/>
    <w:rsid w:val="00316B9E"/>
    <w:rsid w:val="00343EC7"/>
    <w:rsid w:val="003817A3"/>
    <w:rsid w:val="00387118"/>
    <w:rsid w:val="003A1052"/>
    <w:rsid w:val="003A43C1"/>
    <w:rsid w:val="003D4AE3"/>
    <w:rsid w:val="003D5023"/>
    <w:rsid w:val="003D5D8E"/>
    <w:rsid w:val="003E7E22"/>
    <w:rsid w:val="004114C2"/>
    <w:rsid w:val="00417B93"/>
    <w:rsid w:val="004258BF"/>
    <w:rsid w:val="00425FF3"/>
    <w:rsid w:val="004349E9"/>
    <w:rsid w:val="00440367"/>
    <w:rsid w:val="00482025"/>
    <w:rsid w:val="00487223"/>
    <w:rsid w:val="00487ADF"/>
    <w:rsid w:val="0049211B"/>
    <w:rsid w:val="004B1FB5"/>
    <w:rsid w:val="004E33F1"/>
    <w:rsid w:val="004F0094"/>
    <w:rsid w:val="004F1D04"/>
    <w:rsid w:val="00500C7E"/>
    <w:rsid w:val="00531462"/>
    <w:rsid w:val="00531828"/>
    <w:rsid w:val="0053249B"/>
    <w:rsid w:val="0053328B"/>
    <w:rsid w:val="00544B7D"/>
    <w:rsid w:val="005468FD"/>
    <w:rsid w:val="0055094A"/>
    <w:rsid w:val="00551357"/>
    <w:rsid w:val="00554F4F"/>
    <w:rsid w:val="0057318F"/>
    <w:rsid w:val="005A5606"/>
    <w:rsid w:val="005A6ABE"/>
    <w:rsid w:val="005D3CD6"/>
    <w:rsid w:val="005E0983"/>
    <w:rsid w:val="005E5275"/>
    <w:rsid w:val="005E68DA"/>
    <w:rsid w:val="00605BA2"/>
    <w:rsid w:val="006077AA"/>
    <w:rsid w:val="00623CBF"/>
    <w:rsid w:val="00627628"/>
    <w:rsid w:val="00642DC9"/>
    <w:rsid w:val="006437D1"/>
    <w:rsid w:val="0064395E"/>
    <w:rsid w:val="006864B7"/>
    <w:rsid w:val="0068655A"/>
    <w:rsid w:val="00687BCB"/>
    <w:rsid w:val="006938DD"/>
    <w:rsid w:val="006B16F2"/>
    <w:rsid w:val="006B3478"/>
    <w:rsid w:val="006C2D9D"/>
    <w:rsid w:val="006D754C"/>
    <w:rsid w:val="006E5E29"/>
    <w:rsid w:val="00741B89"/>
    <w:rsid w:val="00762C8F"/>
    <w:rsid w:val="00764A2F"/>
    <w:rsid w:val="0077547F"/>
    <w:rsid w:val="0078184F"/>
    <w:rsid w:val="00794576"/>
    <w:rsid w:val="00796882"/>
    <w:rsid w:val="007A233C"/>
    <w:rsid w:val="007A5B45"/>
    <w:rsid w:val="007A614F"/>
    <w:rsid w:val="007B6BC2"/>
    <w:rsid w:val="007C49D4"/>
    <w:rsid w:val="007F0B4B"/>
    <w:rsid w:val="0080215F"/>
    <w:rsid w:val="00822AEB"/>
    <w:rsid w:val="00824BA1"/>
    <w:rsid w:val="00825713"/>
    <w:rsid w:val="00833E05"/>
    <w:rsid w:val="00840B08"/>
    <w:rsid w:val="00841E88"/>
    <w:rsid w:val="00853C7D"/>
    <w:rsid w:val="00854231"/>
    <w:rsid w:val="00860109"/>
    <w:rsid w:val="00866BE1"/>
    <w:rsid w:val="00871C61"/>
    <w:rsid w:val="00883766"/>
    <w:rsid w:val="00885739"/>
    <w:rsid w:val="00895061"/>
    <w:rsid w:val="008961C8"/>
    <w:rsid w:val="008C2BB5"/>
    <w:rsid w:val="008C3907"/>
    <w:rsid w:val="008C5952"/>
    <w:rsid w:val="008E1E88"/>
    <w:rsid w:val="008E2061"/>
    <w:rsid w:val="008F5931"/>
    <w:rsid w:val="0090669C"/>
    <w:rsid w:val="00917B47"/>
    <w:rsid w:val="00917E40"/>
    <w:rsid w:val="00920EFE"/>
    <w:rsid w:val="009445C8"/>
    <w:rsid w:val="00985E37"/>
    <w:rsid w:val="009B3906"/>
    <w:rsid w:val="009D2E87"/>
    <w:rsid w:val="009E28FE"/>
    <w:rsid w:val="009F6B64"/>
    <w:rsid w:val="00A04700"/>
    <w:rsid w:val="00A2154C"/>
    <w:rsid w:val="00A2531A"/>
    <w:rsid w:val="00A256DC"/>
    <w:rsid w:val="00A50F85"/>
    <w:rsid w:val="00A810FB"/>
    <w:rsid w:val="00AC42AB"/>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A4F93"/>
    <w:rsid w:val="00BC5A40"/>
    <w:rsid w:val="00BE17BD"/>
    <w:rsid w:val="00BE395A"/>
    <w:rsid w:val="00C01829"/>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363C"/>
    <w:rsid w:val="00DA3366"/>
    <w:rsid w:val="00DA77AC"/>
    <w:rsid w:val="00DB24C2"/>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60806"/>
    <w:rsid w:val="00E8213C"/>
    <w:rsid w:val="00EA397E"/>
    <w:rsid w:val="00EB2764"/>
    <w:rsid w:val="00EB3217"/>
    <w:rsid w:val="00EB5B90"/>
    <w:rsid w:val="00EB77CA"/>
    <w:rsid w:val="00EC1253"/>
    <w:rsid w:val="00EC7DA1"/>
    <w:rsid w:val="00ED10CC"/>
    <w:rsid w:val="00ED29F6"/>
    <w:rsid w:val="00ED45B3"/>
    <w:rsid w:val="00ED7048"/>
    <w:rsid w:val="00EE382A"/>
    <w:rsid w:val="00EE5F33"/>
    <w:rsid w:val="00F1435A"/>
    <w:rsid w:val="00F171C7"/>
    <w:rsid w:val="00F32154"/>
    <w:rsid w:val="00F669EC"/>
    <w:rsid w:val="00F71BFD"/>
    <w:rsid w:val="00F83A24"/>
    <w:rsid w:val="00F91448"/>
    <w:rsid w:val="00F941DA"/>
    <w:rsid w:val="00F94804"/>
    <w:rsid w:val="00FA01ED"/>
    <w:rsid w:val="00FA56A9"/>
    <w:rsid w:val="00FB74ED"/>
    <w:rsid w:val="00FC18BD"/>
    <w:rsid w:val="00FC32FA"/>
    <w:rsid w:val="00FC351E"/>
    <w:rsid w:val="00FD5B01"/>
    <w:rsid w:val="00FE132B"/>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346</Words>
  <Characters>1977</Characters>
  <Application>Microsoft Office Word</Application>
  <DocSecurity>0</DocSecurity>
  <Lines>16</Lines>
  <Paragraphs>4</Paragraphs>
  <ScaleCrop>false</ScaleCrop>
  <Company>TURMOB</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198</cp:revision>
  <dcterms:created xsi:type="dcterms:W3CDTF">2011-07-01T05:43:00Z</dcterms:created>
  <dcterms:modified xsi:type="dcterms:W3CDTF">2011-10-10T05:57:00Z</dcterms:modified>
</cp:coreProperties>
</file>