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32901" w:rsidRDefault="002E3342" w:rsidP="00832901">
      <w:pPr>
        <w:pStyle w:val="NormalWeb"/>
        <w:spacing w:before="0" w:beforeAutospacing="0" w:after="0" w:afterAutospacing="0" w:line="276" w:lineRule="auto"/>
        <w:rPr>
          <w:b/>
          <w:color w:val="auto"/>
          <w:sz w:val="20"/>
          <w:szCs w:val="20"/>
          <w:u w:val="single"/>
        </w:rPr>
      </w:pPr>
      <w:r w:rsidRPr="00832901">
        <w:rPr>
          <w:b/>
          <w:color w:val="auto"/>
          <w:sz w:val="20"/>
          <w:szCs w:val="20"/>
          <w:u w:val="single"/>
        </w:rPr>
        <w:t>1</w:t>
      </w:r>
      <w:r w:rsidR="00A042C8">
        <w:rPr>
          <w:b/>
          <w:color w:val="auto"/>
          <w:sz w:val="20"/>
          <w:szCs w:val="20"/>
          <w:u w:val="single"/>
        </w:rPr>
        <w:t>6</w:t>
      </w:r>
      <w:r w:rsidR="00B04B00" w:rsidRPr="00832901">
        <w:rPr>
          <w:b/>
          <w:color w:val="auto"/>
          <w:sz w:val="20"/>
          <w:szCs w:val="20"/>
          <w:u w:val="single"/>
        </w:rPr>
        <w:t xml:space="preserve"> Ekim</w:t>
      </w:r>
      <w:r w:rsidR="004114C2" w:rsidRPr="00832901">
        <w:rPr>
          <w:b/>
          <w:color w:val="auto"/>
          <w:sz w:val="20"/>
          <w:szCs w:val="20"/>
          <w:u w:val="single"/>
        </w:rPr>
        <w:t xml:space="preserve"> </w:t>
      </w:r>
      <w:r w:rsidR="009F6B64" w:rsidRPr="00832901">
        <w:rPr>
          <w:b/>
          <w:color w:val="auto"/>
          <w:sz w:val="20"/>
          <w:szCs w:val="20"/>
          <w:u w:val="single"/>
        </w:rPr>
        <w:t>2011 Tarih,</w:t>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127623" w:rsidRPr="00832901">
        <w:rPr>
          <w:b/>
          <w:color w:val="auto"/>
          <w:sz w:val="20"/>
          <w:szCs w:val="20"/>
          <w:u w:val="single"/>
        </w:rPr>
        <w:tab/>
      </w:r>
      <w:r w:rsidR="008651DA" w:rsidRPr="00832901">
        <w:rPr>
          <w:b/>
          <w:color w:val="auto"/>
          <w:sz w:val="20"/>
          <w:szCs w:val="20"/>
          <w:u w:val="single"/>
        </w:rPr>
        <w:tab/>
      </w:r>
      <w:r w:rsidR="00832901">
        <w:rPr>
          <w:b/>
          <w:color w:val="auto"/>
          <w:sz w:val="20"/>
          <w:szCs w:val="20"/>
          <w:u w:val="single"/>
        </w:rPr>
        <w:t xml:space="preserve">  </w:t>
      </w:r>
      <w:r w:rsidR="006B1E2F" w:rsidRPr="00832901">
        <w:rPr>
          <w:b/>
          <w:color w:val="auto"/>
          <w:sz w:val="20"/>
          <w:szCs w:val="20"/>
          <w:u w:val="single"/>
        </w:rPr>
        <w:t xml:space="preserve"> </w:t>
      </w:r>
      <w:r w:rsidR="00FF555D" w:rsidRPr="00832901">
        <w:rPr>
          <w:b/>
          <w:color w:val="auto"/>
          <w:sz w:val="20"/>
          <w:szCs w:val="20"/>
          <w:u w:val="single"/>
        </w:rPr>
        <w:t>S</w:t>
      </w:r>
      <w:r w:rsidR="00487223" w:rsidRPr="00832901">
        <w:rPr>
          <w:b/>
          <w:color w:val="auto"/>
          <w:sz w:val="20"/>
          <w:szCs w:val="20"/>
          <w:u w:val="single"/>
        </w:rPr>
        <w:t>ayı: 280</w:t>
      </w:r>
      <w:r w:rsidR="00A042C8">
        <w:rPr>
          <w:b/>
          <w:color w:val="auto"/>
          <w:sz w:val="20"/>
          <w:szCs w:val="20"/>
          <w:u w:val="single"/>
        </w:rPr>
        <w:t>86</w:t>
      </w:r>
    </w:p>
    <w:p w:rsidR="00A042C8" w:rsidRPr="00A042C8" w:rsidRDefault="00A042C8" w:rsidP="00A042C8">
      <w:pPr>
        <w:tabs>
          <w:tab w:val="left" w:pos="566"/>
        </w:tabs>
        <w:spacing w:after="0" w:line="240" w:lineRule="exact"/>
        <w:ind w:firstLine="566"/>
        <w:rPr>
          <w:rFonts w:ascii="Times New Roman" w:eastAsia="ヒラギノ明朝 Pro W3" w:hAnsi="Times New Roman" w:cs="Times New Roman"/>
          <w:sz w:val="18"/>
          <w:szCs w:val="18"/>
          <w:u w:val="single"/>
        </w:rPr>
      </w:pPr>
      <w:r w:rsidRPr="00A042C8">
        <w:rPr>
          <w:rFonts w:ascii="Times New Roman" w:eastAsia="ヒラギノ明朝 Pro W3" w:hAnsi="Times New Roman" w:cs="Times New Roman"/>
          <w:sz w:val="18"/>
          <w:szCs w:val="18"/>
          <w:u w:val="single"/>
        </w:rPr>
        <w:t>Tütün ve Alkol Piyasası Düzenleme Kurumundan:</w:t>
      </w:r>
    </w:p>
    <w:p w:rsidR="00A042C8" w:rsidRPr="00A042C8" w:rsidRDefault="00A042C8" w:rsidP="00A042C8">
      <w:pPr>
        <w:spacing w:after="0" w:line="240" w:lineRule="exact"/>
        <w:jc w:val="center"/>
        <w:rPr>
          <w:rFonts w:ascii="Times New Roman" w:eastAsia="ヒラギノ明朝 Pro W3" w:hAnsi="Times New Roman" w:cs="Times New Roman"/>
          <w:b/>
          <w:sz w:val="18"/>
          <w:szCs w:val="18"/>
        </w:rPr>
      </w:pPr>
      <w:r w:rsidRPr="00A042C8">
        <w:rPr>
          <w:rFonts w:ascii="Times New Roman" w:eastAsia="ヒラギノ明朝 Pro W3" w:hAnsi="Times New Roman" w:cs="Times New Roman"/>
          <w:b/>
          <w:sz w:val="18"/>
          <w:szCs w:val="18"/>
        </w:rPr>
        <w:t>TÜTÜN MAMULLERİNİN ÜRETİM VE TİCARETİNE İLİŞKİN USUL VE</w:t>
      </w:r>
    </w:p>
    <w:p w:rsidR="00A042C8" w:rsidRPr="00A042C8" w:rsidRDefault="00A042C8" w:rsidP="00A042C8">
      <w:pPr>
        <w:spacing w:after="0" w:line="240" w:lineRule="exact"/>
        <w:jc w:val="center"/>
        <w:rPr>
          <w:rFonts w:ascii="Times New Roman" w:eastAsia="ヒラギノ明朝 Pro W3" w:hAnsi="Times New Roman" w:cs="Times New Roman"/>
          <w:b/>
          <w:sz w:val="18"/>
          <w:szCs w:val="18"/>
        </w:rPr>
      </w:pPr>
      <w:r w:rsidRPr="00A042C8">
        <w:rPr>
          <w:rFonts w:ascii="Times New Roman" w:eastAsia="ヒラギノ明朝 Pro W3" w:hAnsi="Times New Roman" w:cs="Times New Roman"/>
          <w:b/>
          <w:sz w:val="18"/>
          <w:szCs w:val="18"/>
        </w:rPr>
        <w:t>ESASLAR HAKKINDA YÖNETMELİKTE DEĞİŞİKLİK</w:t>
      </w:r>
    </w:p>
    <w:p w:rsidR="00A042C8" w:rsidRPr="00A042C8" w:rsidRDefault="00A042C8" w:rsidP="00A042C8">
      <w:pPr>
        <w:spacing w:after="0" w:line="240" w:lineRule="exact"/>
        <w:jc w:val="center"/>
        <w:rPr>
          <w:rFonts w:ascii="Times New Roman" w:eastAsia="ヒラギノ明朝 Pro W3" w:hAnsi="Times New Roman" w:cs="Times New Roman"/>
          <w:b/>
          <w:sz w:val="18"/>
          <w:szCs w:val="18"/>
        </w:rPr>
      </w:pPr>
      <w:r w:rsidRPr="00A042C8">
        <w:rPr>
          <w:rFonts w:ascii="Times New Roman" w:eastAsia="ヒラギノ明朝 Pro W3" w:hAnsi="Times New Roman" w:cs="Times New Roman"/>
          <w:b/>
          <w:sz w:val="18"/>
          <w:szCs w:val="18"/>
        </w:rPr>
        <w:t>YAPILMASINA DAİR YÖNETMELİK</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MADDE 1 –</w:t>
      </w:r>
      <w:r w:rsidRPr="00A042C8">
        <w:rPr>
          <w:rFonts w:ascii="Times New Roman" w:eastAsia="ヒラギノ明朝 Pro W3" w:hAnsi="Times New Roman" w:cs="Times New Roman"/>
          <w:sz w:val="18"/>
          <w:szCs w:val="18"/>
        </w:rPr>
        <w:t xml:space="preserve"> </w:t>
      </w:r>
      <w:proofErr w:type="gramStart"/>
      <w:r w:rsidRPr="00A042C8">
        <w:rPr>
          <w:rFonts w:ascii="Times New Roman" w:eastAsia="ヒラギノ明朝 Pro W3" w:hAnsi="Times New Roman" w:cs="Times New Roman"/>
          <w:sz w:val="18"/>
          <w:szCs w:val="18"/>
        </w:rPr>
        <w:t>4/11/2010</w:t>
      </w:r>
      <w:proofErr w:type="gramEnd"/>
      <w:r w:rsidRPr="00A042C8">
        <w:rPr>
          <w:rFonts w:ascii="Times New Roman" w:eastAsia="ヒラギノ明朝 Pro W3" w:hAnsi="Times New Roman" w:cs="Times New Roman"/>
          <w:sz w:val="18"/>
          <w:szCs w:val="18"/>
        </w:rPr>
        <w:t xml:space="preserve"> tarihli ve 27749 sayılı Resmî Gazete’de yayımlanan Tütün Mamullerinin Üretim ve Ticaretine İlişkin Usul ve Esaslar Hakkında Yönetmeliğin 6 </w:t>
      </w:r>
      <w:proofErr w:type="spellStart"/>
      <w:r w:rsidRPr="00A042C8">
        <w:rPr>
          <w:rFonts w:ascii="Times New Roman" w:eastAsia="ヒラギノ明朝 Pro W3" w:hAnsi="Times New Roman" w:cs="Times New Roman"/>
          <w:sz w:val="18"/>
          <w:szCs w:val="18"/>
        </w:rPr>
        <w:t>ncı</w:t>
      </w:r>
      <w:proofErr w:type="spellEnd"/>
      <w:r w:rsidRPr="00A042C8">
        <w:rPr>
          <w:rFonts w:ascii="Times New Roman" w:eastAsia="ヒラギノ明朝 Pro W3" w:hAnsi="Times New Roman" w:cs="Times New Roman"/>
          <w:sz w:val="18"/>
          <w:szCs w:val="18"/>
        </w:rPr>
        <w:t xml:space="preserve"> maddesinin birinci fıkrasının (c) bendi aşağıdaki şekilde değiştirilmiştir.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 xml:space="preserve">“c) Gerçek kişiler için başvuru sahibinin, tüzel kişiler için yönetim kurulu başkan ve üyeleri ile tüzel kişiyi temsile yetkili kişilerin T.C. Kimlik Numarası ile Kanuna, </w:t>
      </w:r>
      <w:proofErr w:type="gramStart"/>
      <w:r w:rsidRPr="00A042C8">
        <w:rPr>
          <w:rFonts w:ascii="Times New Roman" w:eastAsia="ヒラギノ明朝 Pro W3" w:hAnsi="Times New Roman" w:cs="Times New Roman"/>
          <w:sz w:val="18"/>
          <w:szCs w:val="18"/>
        </w:rPr>
        <w:t>8/6/1942</w:t>
      </w:r>
      <w:proofErr w:type="gramEnd"/>
      <w:r w:rsidRPr="00A042C8">
        <w:rPr>
          <w:rFonts w:ascii="Times New Roman" w:eastAsia="ヒラギノ明朝 Pro W3" w:hAnsi="Times New Roman" w:cs="Times New Roman"/>
          <w:sz w:val="18"/>
          <w:szCs w:val="18"/>
        </w:rPr>
        <w:t xml:space="preserve"> tarihli ve 4250 sayılı İspirto ve İspirtolu İçkiler İnhisarı Kanununa, 21/3/2007 tarihli ve 5607 sayılı Kaçakçılıkla Mücadele Kanununa aykırılıktan dolayı haklarında kesinleşmiş mahkumiyet kararı olmadığına ve Kurumca düzenlenmiş belgelerin mahkemece askıya alınmadığına dair beyan.”</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2 – </w:t>
      </w:r>
      <w:r w:rsidRPr="00A042C8">
        <w:rPr>
          <w:rFonts w:ascii="Times New Roman" w:eastAsia="ヒラギノ明朝 Pro W3" w:hAnsi="Times New Roman" w:cs="Times New Roman"/>
          <w:sz w:val="18"/>
          <w:szCs w:val="18"/>
        </w:rPr>
        <w:t>Aynı Yönetmeliğin 8 inci maddesine aşağıdaki fıkralar eklenmiştir.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“(8) Tesiste, Kurumca izin verilenlerin veya uygun bulunanların dışında herhangi bir üretim yapılamaz.”</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 xml:space="preserve">“(9) Piyasaya arz ve ihracat amacıyla üretilen tütün mamulleri, mamul ambarının birbirinden ayrılmış bölümlerinde, </w:t>
      </w:r>
      <w:proofErr w:type="gramStart"/>
      <w:r w:rsidRPr="00A042C8">
        <w:rPr>
          <w:rFonts w:ascii="Times New Roman" w:eastAsia="ヒラギノ明朝 Pro W3" w:hAnsi="Times New Roman" w:cs="Times New Roman"/>
          <w:sz w:val="18"/>
          <w:szCs w:val="18"/>
        </w:rPr>
        <w:t>mamulat</w:t>
      </w:r>
      <w:proofErr w:type="gramEnd"/>
      <w:r w:rsidRPr="00A042C8">
        <w:rPr>
          <w:rFonts w:ascii="Times New Roman" w:eastAsia="ヒラギノ明朝 Pro W3" w:hAnsi="Times New Roman" w:cs="Times New Roman"/>
          <w:sz w:val="18"/>
          <w:szCs w:val="18"/>
        </w:rPr>
        <w:t xml:space="preserve"> çeşidi bazında sınıflandırılmasına ve denetimlerde sayılmasına imkan verecek şekilde depolanır.”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3 – </w:t>
      </w:r>
      <w:r w:rsidRPr="00A042C8">
        <w:rPr>
          <w:rFonts w:ascii="Times New Roman" w:eastAsia="ヒラギノ明朝 Pro W3" w:hAnsi="Times New Roman" w:cs="Times New Roman"/>
          <w:sz w:val="18"/>
          <w:szCs w:val="18"/>
        </w:rPr>
        <w:t xml:space="preserve">Aynı Yönetmeliğin 12 </w:t>
      </w:r>
      <w:proofErr w:type="spellStart"/>
      <w:r w:rsidRPr="00A042C8">
        <w:rPr>
          <w:rFonts w:ascii="Times New Roman" w:eastAsia="ヒラギノ明朝 Pro W3" w:hAnsi="Times New Roman" w:cs="Times New Roman"/>
          <w:sz w:val="18"/>
          <w:szCs w:val="18"/>
        </w:rPr>
        <w:t>nci</w:t>
      </w:r>
      <w:proofErr w:type="spellEnd"/>
      <w:r w:rsidRPr="00A042C8">
        <w:rPr>
          <w:rFonts w:ascii="Times New Roman" w:eastAsia="ヒラギノ明朝 Pro W3" w:hAnsi="Times New Roman" w:cs="Times New Roman"/>
          <w:sz w:val="18"/>
          <w:szCs w:val="18"/>
        </w:rPr>
        <w:t xml:space="preserve"> maddesine aşağıdaki fıkralar eklenmiştir.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“(9) Marka veya lisans hakkını ortadan kaldıracak nitelikte marka tescili ve/veya lisans sözleşmesinde meydana gelen değişikliklerde, söz konusu değişikliğin geçerli olduğu tarih itibariyle Piyasaya Arz Uygunluk Belgesi iptal edilmiş sayılır. Belge iptal tarihinden önce piyasaya arz edilmiş ürünler piyasada bulunabilir.”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“(10) Dokuzuncu fıkranın ve 25 inci maddenin üçüncü fıkrasında belirtilen hallerin dışında Piyasaya Arz Uygunluk Belgesinin iptali istemiyle Kuruma yapılan başvurular en geç altmış gün içinde karara bağlanır, alınan kararda aksi bir süre belirtilmemiş ise kararın bildirim tarihi itibariyle belge iptal edilmiş sayılır. Belge iptal tarihinden önce piyasaya arz edilmiş ürünler piyasada bulunabilir.”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4 – </w:t>
      </w:r>
      <w:r w:rsidRPr="00A042C8">
        <w:rPr>
          <w:rFonts w:ascii="Times New Roman" w:eastAsia="ヒラギノ明朝 Pro W3" w:hAnsi="Times New Roman" w:cs="Times New Roman"/>
          <w:sz w:val="18"/>
          <w:szCs w:val="18"/>
        </w:rPr>
        <w:t>Aynı Yönetmeliğin 13 üncü maddesine aşağıdaki fıkra eklenmiştir.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“(2) Firmalarca piyasaya arz ambalajında kullanılan ayırt edici ibarenin değiştirilmesine yönelik güncelleme kapsamında başvuruda bulunulamaz.”</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5 – </w:t>
      </w:r>
      <w:r w:rsidRPr="00A042C8">
        <w:rPr>
          <w:rFonts w:ascii="Times New Roman" w:eastAsia="ヒラギノ明朝 Pro W3" w:hAnsi="Times New Roman" w:cs="Times New Roman"/>
          <w:sz w:val="18"/>
          <w:szCs w:val="18"/>
        </w:rPr>
        <w:t>Aynı Yönetmeliğin 14 üncü maddesine aşağıdaki fıkra eklenmiştir.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“(6) İhraç amaçlı tütün mamullerinin üretimi öncesinde marka tescil belgesinin, markanın başka bir gerçek veya tüzel kişi adına kayıtlı olması halinde ise marka tescil belgesiyle birlikte markanın kullanım hakkının devrine ilişkin lisans sözleşmesinin Kuruma ibrazı zorunludur.”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6 – </w:t>
      </w:r>
      <w:r w:rsidRPr="00A042C8">
        <w:rPr>
          <w:rFonts w:ascii="Times New Roman" w:eastAsia="ヒラギノ明朝 Pro W3" w:hAnsi="Times New Roman" w:cs="Times New Roman"/>
          <w:sz w:val="18"/>
          <w:szCs w:val="18"/>
        </w:rPr>
        <w:t>Aynı Yönetmeliğin 25 inci maddesinin; birinci fıkrasının (ç) bendi ile ikinci fıkrasının (ç) bendi aşağıdaki şekilde değiştirilmiş, ikinci fıkraya aşağıdaki (e) bendi eklenmiş ve aynı maddenin beşinci ve altıncı fıkraları aşağıdaki şekilde değiştirilmiştir.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 xml:space="preserve">“ç) Ambalajlarında </w:t>
      </w:r>
      <w:proofErr w:type="gramStart"/>
      <w:r w:rsidRPr="00A042C8">
        <w:rPr>
          <w:rFonts w:ascii="Times New Roman" w:eastAsia="ヒラギノ明朝 Pro W3" w:hAnsi="Times New Roman" w:cs="Times New Roman"/>
          <w:sz w:val="18"/>
          <w:szCs w:val="18"/>
        </w:rPr>
        <w:t>bandrol</w:t>
      </w:r>
      <w:proofErr w:type="gramEnd"/>
      <w:r w:rsidRPr="00A042C8">
        <w:rPr>
          <w:rFonts w:ascii="Times New Roman" w:eastAsia="ヒラギノ明朝 Pro W3" w:hAnsi="Times New Roman" w:cs="Times New Roman"/>
          <w:sz w:val="18"/>
          <w:szCs w:val="18"/>
        </w:rPr>
        <w:t>, etiket, hologram, pul, damga veya benzeri işaret bulunmayan ya da taklit işaretleri taşıyan tütün mamullerini ticari amaçla bulunduran, nakleden, satışa arz eden veya satanlar ile ambalajları üzerinde bulunan ürün bilgileri ile bandrol, etiket, hologram, pul, damga veya benzeri işaretlerin içerdiği bilgilerin farklı olması halinde, bu ürünleri üreten veya ithal edenler hakkında Kanunun 8 inci maddesinin dördüncü fıkrası hükmü uygulanır.”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 xml:space="preserve">“ç) Kurumdan uygunluk belgesi almadan enfiye, çiğneme, nargile tütünü veya yaprak sigara kâğıdı ya da </w:t>
      </w:r>
      <w:proofErr w:type="spellStart"/>
      <w:r w:rsidRPr="00A042C8">
        <w:rPr>
          <w:rFonts w:ascii="Times New Roman" w:eastAsia="ヒラギノ明朝 Pro W3" w:hAnsi="Times New Roman" w:cs="Times New Roman"/>
          <w:sz w:val="18"/>
          <w:szCs w:val="18"/>
        </w:rPr>
        <w:t>makaron</w:t>
      </w:r>
      <w:proofErr w:type="spellEnd"/>
      <w:r w:rsidRPr="00A042C8">
        <w:rPr>
          <w:rFonts w:ascii="Times New Roman" w:eastAsia="ヒラギノ明朝 Pro W3" w:hAnsi="Times New Roman" w:cs="Times New Roman"/>
          <w:sz w:val="18"/>
          <w:szCs w:val="18"/>
        </w:rPr>
        <w:t xml:space="preserve"> üretenler ile satan veya satışa arz edenlere Kanunun 8 inci maddesinin beşinci fıkrasının (ı) bendi hükmü uygulanır.”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“e) Ticari amaçla sarmalık kıyılmış tütün üretenler ile satan veya satışa arz edenlere Kanunun 8 inci maddesinin beşinci fıkrasının (o) bendi hükmü uygulanır.”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 xml:space="preserve">“(5) Kanuna, 4250 sayılı Kanuna veya 5607 sayılı Kanuna aykırı fiillerden dolayı haklarında kesinleşmiş mahkûmiyet kararı olanlara, Kurumun düzenlemekle yükümlü olduğu piyasalarda faaliyete ilişkin hiçbir belge verilmez, verilmiş olanlar Kurumca iptal edilir. Mahkemece verilecek mahkûmiyet kararında, kararın kesinleşmesine kadar faaliyete ilişkin tüm belgelerin askıya alınmasına da karar verilir. Yargılama sonuna kadar üretici ve ithalatçılara yetkili idarece uygun görülecek miktarda </w:t>
      </w:r>
      <w:proofErr w:type="gramStart"/>
      <w:r w:rsidRPr="00A042C8">
        <w:rPr>
          <w:rFonts w:ascii="Times New Roman" w:eastAsia="ヒラギノ明朝 Pro W3" w:hAnsi="Times New Roman" w:cs="Times New Roman"/>
          <w:sz w:val="18"/>
          <w:szCs w:val="18"/>
        </w:rPr>
        <w:t>bandrol</w:t>
      </w:r>
      <w:proofErr w:type="gramEnd"/>
      <w:r w:rsidRPr="00A042C8">
        <w:rPr>
          <w:rFonts w:ascii="Times New Roman" w:eastAsia="ヒラギノ明朝 Pro W3" w:hAnsi="Times New Roman" w:cs="Times New Roman"/>
          <w:sz w:val="18"/>
          <w:szCs w:val="18"/>
        </w:rPr>
        <w:t xml:space="preserve">, etiket, hologram, pul, damga veya benzeri işaretler verilebilir. Söz konusu fiillerin kamu sağlığını veya tütün ve alkol piyasasının güvenliğini bozucu nitelikte olması halinde, yargılama sürecinde yetkili mahkemece mevcut delil durumuna göre belgelerin askıya alınmasına </w:t>
      </w:r>
      <w:proofErr w:type="spellStart"/>
      <w:r w:rsidRPr="00A042C8">
        <w:rPr>
          <w:rFonts w:ascii="Times New Roman" w:eastAsia="ヒラギノ明朝 Pro W3" w:hAnsi="Times New Roman" w:cs="Times New Roman"/>
          <w:sz w:val="18"/>
          <w:szCs w:val="18"/>
        </w:rPr>
        <w:t>tedbiren</w:t>
      </w:r>
      <w:proofErr w:type="spellEnd"/>
      <w:r w:rsidRPr="00A042C8">
        <w:rPr>
          <w:rFonts w:ascii="Times New Roman" w:eastAsia="ヒラギノ明朝 Pro W3" w:hAnsi="Times New Roman" w:cs="Times New Roman"/>
          <w:sz w:val="18"/>
          <w:szCs w:val="18"/>
        </w:rPr>
        <w:t xml:space="preserve"> karar verilir.”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sz w:val="18"/>
          <w:szCs w:val="18"/>
        </w:rPr>
        <w:t>“(6) İkinci fıkranın (ç), (d) ve (e) bentlerinde yazılı fiiller hakkında idari yaptırım uygulamaya ve bu fiillerin konusunu oluşturan her türlü eşyanın mülkiyetinin kamuya geçirilmesi kararını vermeye mahalli mülki amirler, diğer bentlerde yazılı fiiller hakkında idari para cezası vermeye Kurum yetkilidir. Mahallî mülki amirlerce uygulanan idari yaptırımlar on beş gün içinde Kuruma iletilir.”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7 – </w:t>
      </w:r>
      <w:r w:rsidRPr="00A042C8">
        <w:rPr>
          <w:rFonts w:ascii="Times New Roman" w:eastAsia="ヒラギノ明朝 Pro W3" w:hAnsi="Times New Roman" w:cs="Times New Roman"/>
          <w:sz w:val="18"/>
          <w:szCs w:val="18"/>
        </w:rPr>
        <w:t>Bu Yönetmelik yayımı tarihinde yürürlüğe girer.</w:t>
      </w:r>
    </w:p>
    <w:p w:rsidR="00A042C8" w:rsidRPr="00A042C8" w:rsidRDefault="00A042C8" w:rsidP="00A042C8">
      <w:pPr>
        <w:tabs>
          <w:tab w:val="left" w:pos="566"/>
        </w:tabs>
        <w:spacing w:after="0" w:line="240" w:lineRule="exact"/>
        <w:ind w:firstLine="566"/>
        <w:jc w:val="both"/>
        <w:rPr>
          <w:rFonts w:ascii="Times New Roman" w:eastAsia="ヒラギノ明朝 Pro W3" w:hAnsi="Times New Roman" w:cs="Times New Roman"/>
          <w:sz w:val="18"/>
          <w:szCs w:val="18"/>
        </w:rPr>
      </w:pPr>
      <w:r w:rsidRPr="00A042C8">
        <w:rPr>
          <w:rFonts w:ascii="Times New Roman" w:eastAsia="ヒラギノ明朝 Pro W3" w:hAnsi="Times New Roman" w:cs="Times New Roman"/>
          <w:b/>
          <w:sz w:val="18"/>
          <w:szCs w:val="18"/>
        </w:rPr>
        <w:t xml:space="preserve">MADDE 8 – </w:t>
      </w:r>
      <w:r w:rsidRPr="00A042C8">
        <w:rPr>
          <w:rFonts w:ascii="Times New Roman" w:eastAsia="ヒラギノ明朝 Pro W3" w:hAnsi="Times New Roman" w:cs="Times New Roman"/>
          <w:sz w:val="18"/>
          <w:szCs w:val="18"/>
        </w:rPr>
        <w:t>Bu Yönetmelik hükümlerini Tütün ve Alkol Piyasası Düzenleme Kurumu Başkanı yürütür.</w:t>
      </w:r>
    </w:p>
    <w:p w:rsidR="00A042C8" w:rsidRPr="00A042C8" w:rsidRDefault="00A042C8" w:rsidP="00A042C8">
      <w:pPr>
        <w:spacing w:after="0" w:line="240" w:lineRule="exact"/>
        <w:jc w:val="center"/>
        <w:rPr>
          <w:rFonts w:ascii="Times New Roman" w:eastAsia="Times New Roman" w:hAnsi="Times New Roman" w:cs="Times New Roman"/>
          <w:sz w:val="18"/>
          <w:szCs w:val="24"/>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A042C8" w:rsidRPr="00A042C8">
        <w:trPr>
          <w:jc w:val="center"/>
        </w:trPr>
        <w:tc>
          <w:tcPr>
            <w:tcW w:w="8505" w:type="dxa"/>
            <w:gridSpan w:val="2"/>
            <w:tcBorders>
              <w:top w:val="single" w:sz="4" w:space="0" w:color="auto"/>
              <w:left w:val="single" w:sz="4" w:space="0" w:color="auto"/>
              <w:bottom w:val="nil"/>
              <w:right w:val="single" w:sz="4" w:space="0" w:color="auto"/>
            </w:tcBorders>
            <w:hideMark/>
          </w:tcPr>
          <w:p w:rsidR="00A042C8" w:rsidRPr="00A042C8" w:rsidRDefault="00A042C8" w:rsidP="00A042C8">
            <w:pPr>
              <w:tabs>
                <w:tab w:val="left" w:pos="566"/>
              </w:tabs>
              <w:spacing w:after="0" w:line="240" w:lineRule="exact"/>
              <w:jc w:val="center"/>
              <w:rPr>
                <w:rFonts w:ascii="Times New Roman" w:eastAsia="ヒラギノ明朝 Pro W3" w:hAnsi="Times" w:cs="Times New Roman"/>
                <w:b/>
                <w:sz w:val="18"/>
                <w:szCs w:val="18"/>
              </w:rPr>
            </w:pPr>
            <w:r w:rsidRPr="00A042C8">
              <w:rPr>
                <w:rFonts w:ascii="Times New Roman" w:eastAsia="ヒラギノ明朝 Pro W3" w:hAnsi="Times" w:cs="Times New Roman"/>
                <w:b/>
                <w:sz w:val="18"/>
                <w:szCs w:val="18"/>
              </w:rPr>
              <w:t>Y</w:t>
            </w:r>
            <w:r w:rsidRPr="00A042C8">
              <w:rPr>
                <w:rFonts w:ascii="Times New Roman" w:eastAsia="ヒラギノ明朝 Pro W3" w:hAnsi="Times" w:cs="Times"/>
                <w:b/>
                <w:sz w:val="18"/>
                <w:szCs w:val="18"/>
              </w:rPr>
              <w:t>ö</w:t>
            </w:r>
            <w:r w:rsidRPr="00A042C8">
              <w:rPr>
                <w:rFonts w:ascii="Times New Roman" w:eastAsia="ヒラギノ明朝 Pro W3" w:hAnsi="Times" w:cs="Times New Roman"/>
                <w:b/>
                <w:sz w:val="18"/>
                <w:szCs w:val="18"/>
              </w:rPr>
              <w:t>netmeli</w:t>
            </w:r>
            <w:r w:rsidRPr="00A042C8">
              <w:rPr>
                <w:rFonts w:ascii="Times New Roman" w:eastAsia="ヒラギノ明朝 Pro W3" w:hAnsi="Times" w:cs="Times"/>
                <w:b/>
                <w:sz w:val="18"/>
                <w:szCs w:val="18"/>
              </w:rPr>
              <w:t>ğ</w:t>
            </w:r>
            <w:r w:rsidRPr="00A042C8">
              <w:rPr>
                <w:rFonts w:ascii="Times New Roman" w:eastAsia="ヒラギノ明朝 Pro W3" w:hAnsi="Times" w:cs="Times New Roman"/>
                <w:b/>
                <w:sz w:val="18"/>
                <w:szCs w:val="18"/>
              </w:rPr>
              <w:t>in Yay</w:t>
            </w:r>
            <w:r w:rsidRPr="00A042C8">
              <w:rPr>
                <w:rFonts w:ascii="Times New Roman" w:eastAsia="ヒラギノ明朝 Pro W3" w:hAnsi="Times" w:cs="Times"/>
                <w:b/>
                <w:sz w:val="18"/>
                <w:szCs w:val="18"/>
              </w:rPr>
              <w:t>ı</w:t>
            </w:r>
            <w:r w:rsidRPr="00A042C8">
              <w:rPr>
                <w:rFonts w:ascii="Times New Roman" w:eastAsia="ヒラギノ明朝 Pro W3" w:hAnsi="Times" w:cs="Times New Roman"/>
                <w:b/>
                <w:sz w:val="18"/>
                <w:szCs w:val="18"/>
              </w:rPr>
              <w:t>mland</w:t>
            </w:r>
            <w:r w:rsidRPr="00A042C8">
              <w:rPr>
                <w:rFonts w:ascii="Times New Roman" w:eastAsia="ヒラギノ明朝 Pro W3" w:hAnsi="Times" w:cs="Times"/>
                <w:b/>
                <w:sz w:val="18"/>
                <w:szCs w:val="18"/>
              </w:rPr>
              <w:t>ığı</w:t>
            </w:r>
            <w:r w:rsidRPr="00A042C8">
              <w:rPr>
                <w:rFonts w:ascii="Times New Roman" w:eastAsia="ヒラギノ明朝 Pro W3" w:hAnsi="Times" w:cs="Times New Roman"/>
                <w:b/>
                <w:sz w:val="18"/>
                <w:szCs w:val="18"/>
              </w:rPr>
              <w:t xml:space="preserve"> Resm</w:t>
            </w:r>
            <w:r w:rsidRPr="00A042C8">
              <w:rPr>
                <w:rFonts w:ascii="Times New Roman" w:eastAsia="ヒラギノ明朝 Pro W3" w:hAnsi="Times" w:cs="Times"/>
                <w:b/>
                <w:sz w:val="18"/>
                <w:szCs w:val="18"/>
              </w:rPr>
              <w:t>î</w:t>
            </w:r>
            <w:r w:rsidRPr="00A042C8">
              <w:rPr>
                <w:rFonts w:ascii="Times New Roman" w:eastAsia="ヒラギノ明朝 Pro W3" w:hAnsi="Times" w:cs="Times New Roman"/>
                <w:b/>
                <w:sz w:val="18"/>
                <w:szCs w:val="18"/>
              </w:rPr>
              <w:t xml:space="preserve"> Gazete'nin</w:t>
            </w:r>
          </w:p>
        </w:tc>
      </w:tr>
      <w:tr w:rsidR="00A042C8" w:rsidRPr="00A042C8">
        <w:trPr>
          <w:jc w:val="center"/>
        </w:trPr>
        <w:tc>
          <w:tcPr>
            <w:tcW w:w="4254" w:type="dxa"/>
            <w:tcBorders>
              <w:top w:val="nil"/>
              <w:left w:val="single" w:sz="4" w:space="0" w:color="auto"/>
              <w:bottom w:val="single" w:sz="4" w:space="0" w:color="auto"/>
              <w:right w:val="nil"/>
            </w:tcBorders>
            <w:hideMark/>
          </w:tcPr>
          <w:p w:rsidR="00A042C8" w:rsidRPr="00A042C8" w:rsidRDefault="00A042C8" w:rsidP="00A042C8">
            <w:pPr>
              <w:tabs>
                <w:tab w:val="left" w:pos="566"/>
              </w:tabs>
              <w:spacing w:after="0" w:line="240" w:lineRule="exact"/>
              <w:jc w:val="center"/>
              <w:rPr>
                <w:rFonts w:ascii="Times New Roman" w:eastAsia="ヒラギノ明朝 Pro W3" w:hAnsi="Times" w:cs="Times New Roman"/>
                <w:b/>
                <w:sz w:val="18"/>
                <w:szCs w:val="18"/>
              </w:rPr>
            </w:pPr>
            <w:r w:rsidRPr="00A042C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A042C8" w:rsidRPr="00A042C8" w:rsidRDefault="00A042C8" w:rsidP="00A042C8">
            <w:pPr>
              <w:tabs>
                <w:tab w:val="left" w:pos="566"/>
              </w:tabs>
              <w:spacing w:after="0" w:line="240" w:lineRule="exact"/>
              <w:jc w:val="center"/>
              <w:rPr>
                <w:rFonts w:ascii="Times New Roman" w:eastAsia="ヒラギノ明朝 Pro W3" w:hAnsi="Times" w:cs="Times New Roman"/>
                <w:b/>
                <w:sz w:val="18"/>
                <w:szCs w:val="18"/>
              </w:rPr>
            </w:pPr>
            <w:r w:rsidRPr="00A042C8">
              <w:rPr>
                <w:rFonts w:ascii="Times New Roman" w:eastAsia="ヒラギノ明朝 Pro W3" w:hAnsi="Times" w:cs="Times New Roman"/>
                <w:b/>
                <w:sz w:val="18"/>
                <w:szCs w:val="18"/>
              </w:rPr>
              <w:t>Say</w:t>
            </w:r>
            <w:r w:rsidRPr="00A042C8">
              <w:rPr>
                <w:rFonts w:ascii="Times New Roman" w:eastAsia="ヒラギノ明朝 Pro W3" w:hAnsi="Times" w:cs="Times"/>
                <w:b/>
                <w:sz w:val="18"/>
                <w:szCs w:val="18"/>
              </w:rPr>
              <w:t>ı</w:t>
            </w:r>
            <w:r w:rsidRPr="00A042C8">
              <w:rPr>
                <w:rFonts w:ascii="Times New Roman" w:eastAsia="ヒラギノ明朝 Pro W3" w:hAnsi="Times" w:cs="Times New Roman"/>
                <w:b/>
                <w:sz w:val="18"/>
                <w:szCs w:val="18"/>
              </w:rPr>
              <w:t>s</w:t>
            </w:r>
            <w:r w:rsidRPr="00A042C8">
              <w:rPr>
                <w:rFonts w:ascii="Times New Roman" w:eastAsia="ヒラギノ明朝 Pro W3" w:hAnsi="Times" w:cs="Times"/>
                <w:b/>
                <w:sz w:val="18"/>
                <w:szCs w:val="18"/>
              </w:rPr>
              <w:t>ı</w:t>
            </w:r>
          </w:p>
        </w:tc>
      </w:tr>
      <w:tr w:rsidR="00A042C8" w:rsidRPr="00A042C8">
        <w:trPr>
          <w:jc w:val="center"/>
        </w:trPr>
        <w:tc>
          <w:tcPr>
            <w:tcW w:w="4254" w:type="dxa"/>
            <w:tcBorders>
              <w:top w:val="single" w:sz="4" w:space="0" w:color="auto"/>
              <w:left w:val="single" w:sz="4" w:space="0" w:color="auto"/>
              <w:bottom w:val="single" w:sz="4" w:space="0" w:color="auto"/>
              <w:right w:val="single" w:sz="4" w:space="0" w:color="auto"/>
            </w:tcBorders>
            <w:hideMark/>
          </w:tcPr>
          <w:p w:rsidR="00A042C8" w:rsidRPr="00A042C8" w:rsidRDefault="00A042C8" w:rsidP="00A042C8">
            <w:pPr>
              <w:tabs>
                <w:tab w:val="left" w:pos="566"/>
              </w:tabs>
              <w:spacing w:after="0" w:line="240" w:lineRule="exact"/>
              <w:jc w:val="center"/>
              <w:rPr>
                <w:rFonts w:ascii="Times New Roman" w:eastAsia="ヒラギノ明朝 Pro W3" w:hAnsi="Times" w:cs="Times New Roman"/>
                <w:sz w:val="18"/>
                <w:szCs w:val="18"/>
              </w:rPr>
            </w:pPr>
            <w:proofErr w:type="gramStart"/>
            <w:r w:rsidRPr="00A042C8">
              <w:rPr>
                <w:rFonts w:ascii="Times New Roman" w:eastAsia="ヒラギノ明朝 Pro W3" w:hAnsi="Times" w:cs="Times New Roman"/>
                <w:sz w:val="18"/>
                <w:szCs w:val="18"/>
              </w:rPr>
              <w:lastRenderedPageBreak/>
              <w:t>4/11/2010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042C8" w:rsidRPr="00A042C8" w:rsidRDefault="00A042C8" w:rsidP="00A042C8">
            <w:pPr>
              <w:tabs>
                <w:tab w:val="left" w:pos="566"/>
              </w:tabs>
              <w:spacing w:after="0" w:line="240" w:lineRule="exact"/>
              <w:jc w:val="center"/>
              <w:rPr>
                <w:rFonts w:ascii="Times New Roman" w:eastAsia="ヒラギノ明朝 Pro W3" w:hAnsi="Times" w:cs="Times New Roman"/>
                <w:sz w:val="18"/>
                <w:szCs w:val="18"/>
              </w:rPr>
            </w:pPr>
            <w:r w:rsidRPr="00A042C8">
              <w:rPr>
                <w:rFonts w:ascii="Times New Roman" w:eastAsia="ヒラギノ明朝 Pro W3" w:hAnsi="Times" w:cs="Times New Roman"/>
                <w:sz w:val="18"/>
                <w:szCs w:val="18"/>
              </w:rPr>
              <w:t>27749</w:t>
            </w:r>
          </w:p>
        </w:tc>
      </w:tr>
    </w:tbl>
    <w:p w:rsidR="00832901" w:rsidRDefault="00832901" w:rsidP="00832901">
      <w:pPr>
        <w:pStyle w:val="NormalWeb"/>
        <w:spacing w:before="0" w:beforeAutospacing="0" w:after="0" w:afterAutospacing="0" w:line="276" w:lineRule="auto"/>
        <w:rPr>
          <w:b/>
          <w:color w:val="auto"/>
          <w:sz w:val="20"/>
          <w:szCs w:val="20"/>
          <w:u w:val="single"/>
        </w:rPr>
      </w:pPr>
    </w:p>
    <w:sectPr w:rsidR="0083290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D9E" w:rsidRDefault="006B2D9E" w:rsidP="003A1052">
      <w:pPr>
        <w:spacing w:after="0" w:line="240" w:lineRule="auto"/>
      </w:pPr>
      <w:r>
        <w:separator/>
      </w:r>
    </w:p>
  </w:endnote>
  <w:endnote w:type="continuationSeparator" w:id="0">
    <w:p w:rsidR="006B2D9E" w:rsidRDefault="006B2D9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D9E" w:rsidRDefault="006B2D9E" w:rsidP="003A1052">
      <w:pPr>
        <w:spacing w:after="0" w:line="240" w:lineRule="auto"/>
      </w:pPr>
      <w:r>
        <w:separator/>
      </w:r>
    </w:p>
  </w:footnote>
  <w:footnote w:type="continuationSeparator" w:id="0">
    <w:p w:rsidR="006B2D9E" w:rsidRDefault="006B2D9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781</Words>
  <Characters>4456</Characters>
  <Application>Microsoft Office Word</Application>
  <DocSecurity>0</DocSecurity>
  <Lines>37</Lines>
  <Paragraphs>10</Paragraphs>
  <ScaleCrop>false</ScaleCrop>
  <Company>TURMOB</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225</cp:revision>
  <dcterms:created xsi:type="dcterms:W3CDTF">2011-07-01T05:43:00Z</dcterms:created>
  <dcterms:modified xsi:type="dcterms:W3CDTF">2011-10-17T05:37:00Z</dcterms:modified>
</cp:coreProperties>
</file>