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2E3342" w:rsidP="00832901">
      <w:pPr>
        <w:pStyle w:val="NormalWeb"/>
        <w:spacing w:before="0" w:beforeAutospacing="0" w:after="0" w:afterAutospacing="0" w:line="276" w:lineRule="auto"/>
        <w:rPr>
          <w:b/>
          <w:color w:val="auto"/>
          <w:sz w:val="20"/>
          <w:szCs w:val="20"/>
          <w:u w:val="single"/>
        </w:rPr>
      </w:pPr>
      <w:r w:rsidRPr="00832901">
        <w:rPr>
          <w:b/>
          <w:color w:val="auto"/>
          <w:sz w:val="20"/>
          <w:szCs w:val="20"/>
          <w:u w:val="single"/>
        </w:rPr>
        <w:t>1</w:t>
      </w:r>
      <w:r w:rsidR="00A042C8">
        <w:rPr>
          <w:b/>
          <w:color w:val="auto"/>
          <w:sz w:val="20"/>
          <w:szCs w:val="20"/>
          <w:u w:val="single"/>
        </w:rPr>
        <w:t>6</w:t>
      </w:r>
      <w:r w:rsidR="00B04B00" w:rsidRPr="00832901">
        <w:rPr>
          <w:b/>
          <w:color w:val="auto"/>
          <w:sz w:val="20"/>
          <w:szCs w:val="20"/>
          <w:u w:val="single"/>
        </w:rPr>
        <w:t xml:space="preserve"> Ekim</w:t>
      </w:r>
      <w:r w:rsidR="004114C2" w:rsidRPr="00832901">
        <w:rPr>
          <w:b/>
          <w:color w:val="auto"/>
          <w:sz w:val="20"/>
          <w:szCs w:val="20"/>
          <w:u w:val="single"/>
        </w:rPr>
        <w:t xml:space="preserve"> </w:t>
      </w:r>
      <w:r w:rsidR="009F6B64" w:rsidRPr="00832901">
        <w:rPr>
          <w:b/>
          <w:color w:val="auto"/>
          <w:sz w:val="20"/>
          <w:szCs w:val="20"/>
          <w:u w:val="single"/>
        </w:rPr>
        <w:t>2011 Tarih,</w:t>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9F6B64" w:rsidRPr="00832901">
        <w:rPr>
          <w:b/>
          <w:color w:val="auto"/>
          <w:sz w:val="20"/>
          <w:szCs w:val="20"/>
          <w:u w:val="single"/>
        </w:rPr>
        <w:tab/>
      </w:r>
      <w:r w:rsidR="00127623" w:rsidRPr="00832901">
        <w:rPr>
          <w:b/>
          <w:color w:val="auto"/>
          <w:sz w:val="20"/>
          <w:szCs w:val="20"/>
          <w:u w:val="single"/>
        </w:rPr>
        <w:tab/>
      </w:r>
      <w:r w:rsidR="008651DA" w:rsidRPr="00832901">
        <w:rPr>
          <w:b/>
          <w:color w:val="auto"/>
          <w:sz w:val="20"/>
          <w:szCs w:val="20"/>
          <w:u w:val="single"/>
        </w:rPr>
        <w:tab/>
      </w:r>
      <w:r w:rsidR="00832901">
        <w:rPr>
          <w:b/>
          <w:color w:val="auto"/>
          <w:sz w:val="20"/>
          <w:szCs w:val="20"/>
          <w:u w:val="single"/>
        </w:rPr>
        <w:t xml:space="preserve">  </w:t>
      </w:r>
      <w:r w:rsidR="006B1E2F" w:rsidRPr="00832901">
        <w:rPr>
          <w:b/>
          <w:color w:val="auto"/>
          <w:sz w:val="20"/>
          <w:szCs w:val="20"/>
          <w:u w:val="single"/>
        </w:rPr>
        <w:t xml:space="preserve"> </w:t>
      </w:r>
      <w:r w:rsidR="00FF555D" w:rsidRPr="00832901">
        <w:rPr>
          <w:b/>
          <w:color w:val="auto"/>
          <w:sz w:val="20"/>
          <w:szCs w:val="20"/>
          <w:u w:val="single"/>
        </w:rPr>
        <w:t>S</w:t>
      </w:r>
      <w:r w:rsidR="00487223" w:rsidRPr="00832901">
        <w:rPr>
          <w:b/>
          <w:color w:val="auto"/>
          <w:sz w:val="20"/>
          <w:szCs w:val="20"/>
          <w:u w:val="single"/>
        </w:rPr>
        <w:t>ayı: 280</w:t>
      </w:r>
      <w:r w:rsidR="00A042C8">
        <w:rPr>
          <w:b/>
          <w:color w:val="auto"/>
          <w:sz w:val="20"/>
          <w:szCs w:val="20"/>
          <w:u w:val="single"/>
        </w:rPr>
        <w:t>86</w:t>
      </w:r>
    </w:p>
    <w:p w:rsidR="00863FCD" w:rsidRDefault="00863FCD" w:rsidP="00832901">
      <w:pPr>
        <w:pStyle w:val="NormalWeb"/>
        <w:spacing w:before="0" w:beforeAutospacing="0" w:after="0" w:afterAutospacing="0" w:line="276" w:lineRule="auto"/>
        <w:rPr>
          <w:b/>
          <w:color w:val="auto"/>
          <w:sz w:val="20"/>
          <w:szCs w:val="20"/>
          <w:u w:val="single"/>
        </w:rPr>
      </w:pPr>
    </w:p>
    <w:p w:rsidR="00863FCD" w:rsidRDefault="00863FCD" w:rsidP="00863FCD">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863FCD" w:rsidRDefault="00863FCD" w:rsidP="00863FCD">
      <w:pPr>
        <w:pStyle w:val="2-OrtaBaslk0"/>
        <w:spacing w:line="240" w:lineRule="exact"/>
        <w:rPr>
          <w:rFonts w:hAnsi="Times New Roman"/>
          <w:sz w:val="18"/>
          <w:szCs w:val="18"/>
        </w:rPr>
      </w:pPr>
      <w:r>
        <w:rPr>
          <w:rFonts w:hAnsi="Times New Roman"/>
          <w:sz w:val="18"/>
          <w:szCs w:val="18"/>
        </w:rPr>
        <w:t>ÇİFTLİK MUHASEBE VERİ AĞI SİSTEMİNE DÂHİL OLAN TARIMSAL</w:t>
      </w:r>
    </w:p>
    <w:p w:rsidR="00863FCD" w:rsidRDefault="00863FCD" w:rsidP="00863FCD">
      <w:pPr>
        <w:pStyle w:val="2-OrtaBaslk0"/>
        <w:spacing w:line="240" w:lineRule="exact"/>
        <w:rPr>
          <w:rFonts w:hAnsi="Times New Roman"/>
          <w:sz w:val="18"/>
          <w:szCs w:val="18"/>
        </w:rPr>
      </w:pPr>
      <w:r>
        <w:rPr>
          <w:rFonts w:hAnsi="Times New Roman"/>
          <w:sz w:val="18"/>
          <w:szCs w:val="18"/>
        </w:rPr>
        <w:t>İŞLETMELERE KATILIM DESTEĞİ ÖDEMESİ</w:t>
      </w:r>
    </w:p>
    <w:p w:rsidR="00863FCD" w:rsidRDefault="00863FCD" w:rsidP="00863FCD">
      <w:pPr>
        <w:pStyle w:val="2-OrtaBaslk0"/>
        <w:spacing w:line="240" w:lineRule="exact"/>
        <w:rPr>
          <w:rFonts w:hAnsi="Times New Roman"/>
          <w:sz w:val="18"/>
          <w:szCs w:val="18"/>
        </w:rPr>
      </w:pPr>
      <w:r>
        <w:rPr>
          <w:rFonts w:hAnsi="Times New Roman"/>
          <w:sz w:val="18"/>
          <w:szCs w:val="18"/>
        </w:rPr>
        <w:t>YAPILMASINA DAİR TEBLİĞ</w:t>
      </w:r>
    </w:p>
    <w:p w:rsidR="00863FCD" w:rsidRDefault="00863FCD" w:rsidP="00863FCD">
      <w:pPr>
        <w:pStyle w:val="2-OrtaBaslk0"/>
        <w:spacing w:line="240" w:lineRule="exact"/>
        <w:rPr>
          <w:rFonts w:hAnsi="Times New Roman"/>
          <w:sz w:val="18"/>
          <w:szCs w:val="18"/>
        </w:rPr>
      </w:pPr>
      <w:r>
        <w:rPr>
          <w:rFonts w:hAnsi="Times New Roman"/>
          <w:sz w:val="18"/>
          <w:szCs w:val="18"/>
        </w:rPr>
        <w:t>(TEBLİĞ NO: 2011/45)</w:t>
      </w:r>
    </w:p>
    <w:p w:rsidR="00863FCD" w:rsidRDefault="00863FCD" w:rsidP="00863FCD">
      <w:pPr>
        <w:pStyle w:val="2-OrtaBaslk0"/>
        <w:spacing w:line="240" w:lineRule="exact"/>
        <w:rPr>
          <w:rFonts w:hAnsi="Times New Roman"/>
          <w:sz w:val="18"/>
          <w:szCs w:val="18"/>
        </w:rPr>
      </w:pPr>
      <w:r>
        <w:rPr>
          <w:rFonts w:hAnsi="Times New Roman"/>
          <w:sz w:val="18"/>
          <w:szCs w:val="18"/>
        </w:rPr>
        <w:t>BİRİNCİ BÖLÜM</w:t>
      </w:r>
    </w:p>
    <w:p w:rsidR="00863FCD" w:rsidRDefault="00863FCD" w:rsidP="00863FCD">
      <w:pPr>
        <w:pStyle w:val="2-OrtaBaslk0"/>
        <w:spacing w:line="240" w:lineRule="exact"/>
        <w:rPr>
          <w:rFonts w:hAnsi="Times New Roman"/>
          <w:sz w:val="18"/>
          <w:szCs w:val="18"/>
        </w:rPr>
      </w:pPr>
      <w:r>
        <w:rPr>
          <w:rFonts w:hAnsi="Times New Roman"/>
          <w:sz w:val="18"/>
          <w:szCs w:val="18"/>
        </w:rPr>
        <w:t>Amaç, Kapsam, Dayanak ve Tanımlar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Amaç</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Tebliğ, Çiftlik Muhasebe Veri Ağı (ÇMVA) sistemine gönüllü olarak dâhil olan tarımsal işletmelere katılım desteği ödenmesine ilişkin usul ve esasları belirlemek amacıyla hazırlanmıştır.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Kapsam</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Çiftlik Muhasebe Veri Ağı sisteminin kurulduğu iller olan İstanbul, Samsun, Malatya, Adana, Konya, Bursa, Erzurum, Şanlıurfa, Nevşehir, Tekirdağ, Giresun, İzmir’de, gönüllülük esasına dayalı olarak sisteme katılan işletmelere 2011 yılı için yapılacak olan katılım desteği ödemesine ilişkin usul ve esasları kapsar.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Dayanak</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Tebliğ, </w:t>
      </w:r>
      <w:proofErr w:type="gramStart"/>
      <w:r>
        <w:rPr>
          <w:rFonts w:hAnsi="Times New Roman"/>
          <w:sz w:val="18"/>
          <w:szCs w:val="18"/>
        </w:rPr>
        <w:t>18/4/2006</w:t>
      </w:r>
      <w:proofErr w:type="gramEnd"/>
      <w:r>
        <w:rPr>
          <w:rFonts w:hAnsi="Times New Roman"/>
          <w:sz w:val="18"/>
          <w:szCs w:val="18"/>
        </w:rPr>
        <w:t xml:space="preserve"> tarihli ve 5488 sayılı Tarım Kanununun 19 uncu maddesinin (g) bendi ve 22/1/2009 tarihli ve 27118 sayılı Resmî Gazete’de yayımlanan Çiftlik Muhasebe Veri Ağı Sisteminin Kuruluş ve Çalışma Usul ve Esasları Hakkında Yönetmeliğin 15 inci maddesi ile 24/2/2011 tarih ve 27856 sayılı Resmî Gazete’de yayımlanan 2011/1430 sayılı 2011 Yılında Yapılacak Tarımsal Desteklemelere Dair Bakanlar Kurulu Kararına istinaden, 2011 yılında ödenecek olan katılım desteği uygulamalarına esas olmak üzere hazırlanmıştır.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Tanımlar</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Tebliğde geçen;</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a) Anket formu: Tarımsal işletmelerin yıllık teknik, malî veya ekonomik bilgilerinin toplanması için hazırlanan, Avrupa Birliği uygulamaları ile uyumlu soru formunu,</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b) Bakanlık: Gıda, Tarım ve Hayvancılık Bakanlığını,</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c) Banka: T.C. Ziraat Bankası A.Ş.’</w:t>
      </w:r>
      <w:proofErr w:type="spellStart"/>
      <w:r>
        <w:rPr>
          <w:rFonts w:hAnsi="Times New Roman"/>
          <w:sz w:val="18"/>
          <w:szCs w:val="18"/>
        </w:rPr>
        <w:t>yi</w:t>
      </w:r>
      <w:proofErr w:type="spellEnd"/>
      <w:r>
        <w:rPr>
          <w:rFonts w:hAnsi="Times New Roman"/>
          <w:sz w:val="18"/>
          <w:szCs w:val="18"/>
        </w:rPr>
        <w:t>,</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ç) Çiftçi Kayıt Sistemi (ÇKS): Yönetmelikle oluşturulan ve çiftçilerin kimlik, arazi ve ürün bilgileri ile tarımsal desteklemelere ilişkin bilgilerin de kayıt altına alındığı veri tabanını,</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d) Çiftlik Muhasebe Veri Ağı (ÇMVA): Tarımsal işletmelerin gelir, gider ve faaliyetlerine ilişkin muhasebe verilerinin toplanması, depolanması ve istatistikî değerlendirmelerinin yapılması amacıyla oluşturulan sistemi,</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e) ÇMVA Katılım Anlaşması: Verilerin, ÇMVA veri toplama usullerinin uygulanarak toplanacağına ilişkin il müdürlüğü ve çiftçi arasında bir yıllık süreyle imzalanan, her iki tarafın görev ve sorumluluklarını düzenleyen Ek-1’de yer alan belgeyi,</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 xml:space="preserve">f) İcmal 1: İl müdürlüğü tarafından hazırlanan, çiftçi detayında ÇMVA katılım desteği </w:t>
      </w:r>
      <w:proofErr w:type="spellStart"/>
      <w:r>
        <w:rPr>
          <w:rFonts w:hAnsi="Times New Roman"/>
          <w:sz w:val="18"/>
          <w:szCs w:val="18"/>
        </w:rPr>
        <w:t>hakedişlerini</w:t>
      </w:r>
      <w:proofErr w:type="spellEnd"/>
      <w:r>
        <w:rPr>
          <w:rFonts w:hAnsi="Times New Roman"/>
          <w:sz w:val="18"/>
          <w:szCs w:val="18"/>
        </w:rPr>
        <w:t xml:space="preserve"> gösteren ve bir örneği Ek-2’de yer alan belgeyi,</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 xml:space="preserve">g) İcmal 2: İl müdürlüğü tarafından İcmal 1’deki bilgilere göre hazırlanan, il detayında ÇMVA katılım desteği </w:t>
      </w:r>
      <w:proofErr w:type="spellStart"/>
      <w:r>
        <w:rPr>
          <w:rFonts w:hAnsi="Times New Roman"/>
          <w:sz w:val="18"/>
          <w:szCs w:val="18"/>
        </w:rPr>
        <w:t>hakedişlerini</w:t>
      </w:r>
      <w:proofErr w:type="spellEnd"/>
      <w:r>
        <w:rPr>
          <w:rFonts w:hAnsi="Times New Roman"/>
          <w:sz w:val="18"/>
          <w:szCs w:val="18"/>
        </w:rPr>
        <w:t xml:space="preserve"> gösteren ve bir örneği Ek-3’de yer alan belgeyi,</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ğ) İl müdürlüğü: Bakanlık il müdürlüğünü,</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h) İl ÇMVA Komisyonu: İl müdürü veya il müdür yardımcısı başkanlığında koordinasyon ve tarımsal veriler şube müdürü ve il müdürlüğünde anketör olarak görevlendirilen bir personelden oluşan ve işletmelerin seçilmesinden, formların ön değerlendirmesinden, ihtilafların incelenerek sonuçlandırılmasından, gerekli durumlarda ihtilafların Merkez ÇMVA Komisyonuna iletilmesinden, ödemeye esas icmallerin onaylanmasından sorumlu komisyonu,</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ı) İl ÇMVA Koordinatörü: Sistemin kurulduğu illerdeki il müdürlüğü koordinasyon ve tarımsal veriler şube müdürünü,</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i) İşletme: Yasal durumu ne olursa olsun, sahip olduğu, ortakçılık, yarıcılık ya da kiralama şeklinde tuttuğu arazide kendi adına bitkisel üretim, küçükbaş hayvan yetiştiriciliği, büyükbaş hayvan yetiştiriciliği, kümes hayvancılığı, ipek böcekçiliği, arıcılık yapan veya karma üretim yapan eşik değer veya üzeri ekonomik büyüklükteki, tek yönetim altında bulunan ekonomik birimi,</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j) Katılım desteği: Katılım anlaşması imzalayarak ÇMVA sistemine dâhil olan ve muhasebe yılı süresince tarımsal faaliyetlerine ilişkin verilerini belirlenen zamanlarda veri toplayıcılarıyla paylaşan ve verileri Sorumlu Birim tarafından uygulanan testler sonunda doğrulanan işletmelere, her yıl belirlenen miktarda yapılan ödemeyi,</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k) Merkez ÇMVA Komisyonu: Sorumlu Birim bünyesinde, ilgili daire başkanının başkanlığında, diğerleri konusunda deneyimli teknik personel olmak üzere toplam beş üyeden oluşan, illerden gönderilen anket formlarının kontrol ve doğrulanmasından ve il ÇMVA komisyonlarından intikal eden teknik içerikli ve ihtilaflı konuların değerlendirilmesinden sorumlu komisyonu,</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l) Muhasebe yılı: Bir takvim yılını,</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lastRenderedPageBreak/>
        <w:t>m) Sorumlu birim: Gıda, Tarım ve Hayvancılık Bakanlığı Tarım Reformu Genel Müdürlüğünü,</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n) Tarımsal faaliyetler: Bitkisel üretim ve/veya hayvansal üretim ve bu üretim sonucu elde edilen malların; işletme içerisinde ilk işleme, koruma ve değerlendirilmesi için yapılan faaliyetleri,</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o) Rehberlik ve Teftiş Başkanlığı: Bakanlık Rehberlik ve Teftiş Başkanlığını,</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ö) Veri toplayıcı (anketör): ÇMVA verilerinin çiftçiden anket formu yoluyla toplanmasından ve kontrolünden sorumlu, bu konuda sorumlu birimden eğitim almış olan Bakanlık teknik personelini,</w:t>
      </w:r>
    </w:p>
    <w:p w:rsidR="00863FCD" w:rsidRDefault="00863FCD" w:rsidP="00863FCD">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863FCD" w:rsidRDefault="00863FCD" w:rsidP="00863FCD">
      <w:pPr>
        <w:pStyle w:val="2-OrtaBaslk0"/>
        <w:spacing w:line="240" w:lineRule="exact"/>
        <w:rPr>
          <w:rFonts w:hAnsi="Times New Roman"/>
          <w:sz w:val="18"/>
          <w:szCs w:val="18"/>
        </w:rPr>
      </w:pPr>
      <w:r>
        <w:rPr>
          <w:rFonts w:hAnsi="Times New Roman"/>
          <w:sz w:val="18"/>
          <w:szCs w:val="18"/>
        </w:rPr>
        <w:t>İKİNCİ BÖLÜM</w:t>
      </w:r>
    </w:p>
    <w:p w:rsidR="00863FCD" w:rsidRDefault="00863FCD" w:rsidP="00863FCD">
      <w:pPr>
        <w:pStyle w:val="2-OrtaBaslk0"/>
        <w:spacing w:line="240" w:lineRule="exact"/>
        <w:rPr>
          <w:rFonts w:hAnsi="Times New Roman"/>
          <w:sz w:val="18"/>
          <w:szCs w:val="18"/>
        </w:rPr>
      </w:pPr>
      <w:r>
        <w:rPr>
          <w:rFonts w:hAnsi="Times New Roman"/>
          <w:sz w:val="18"/>
          <w:szCs w:val="18"/>
        </w:rPr>
        <w:t>Ödeme Esasları</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Ödeme yapılacak tarımsal işletmeler</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Ödemeler, Çiftçi Kayıt Sistemine (ÇKS) kayıtlı olup, ÇMVA sistemine dâhil olan, bir muhasebe yılı süresince tarımsal faaliyetlerine ilişkin muhasebe verilerini belirlenen zamanlarda veri toplayıcılarla paylaşan ve verileri Sorumlu Birim tarafından yapılan kontroller sonunda doğrulanan tarımsal işletmelere yapılır.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Ödeme miktarı</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Bu Tebliğin 5 inci maddesinde belirtilen tarımsal işletmelere, 2011/1430 sayılı Bakanlar Kurulu Kararına istinaden işletme başına ve yılda bir kez olmak üzere 2011 yılında 300 TL katılım desteği ödenir.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Ödemeler için gerekli finansman ve ödeme planı</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ÇMVA katılım desteği ödemeleri için gerekli finansman bütçenin ilgili kalemine tahsis edilen ödeneklerden karşılanır. Ödemeler, Bakanlık tarafından Bankaya kaynak aktarılmasını müteakip, il müdürlüklerince hazırlanarak onaylanan İcmal 1’e göre, Banka aracılığıyla, ilgili şubelerde daha önce çiftçiler adına açılan veya açılacak olan hesaplara yapılır. Çiftçilere yapılan toplam ödeme tutarının % 0,2’si bütçenin ilgili kaleminden Bankaya hizmet komisyonu olarak ödenir.</w:t>
      </w:r>
    </w:p>
    <w:p w:rsidR="00863FCD" w:rsidRDefault="00863FCD" w:rsidP="00863FCD">
      <w:pPr>
        <w:pStyle w:val="2-OrtaBaslk0"/>
        <w:spacing w:line="240" w:lineRule="exact"/>
        <w:rPr>
          <w:rFonts w:hAnsi="Times New Roman"/>
          <w:sz w:val="18"/>
          <w:szCs w:val="18"/>
        </w:rPr>
      </w:pPr>
      <w:r>
        <w:rPr>
          <w:rFonts w:hAnsi="Times New Roman"/>
          <w:sz w:val="18"/>
          <w:szCs w:val="18"/>
        </w:rPr>
        <w:t>ÜÇÜNCÜ BÖLÜM</w:t>
      </w:r>
    </w:p>
    <w:p w:rsidR="00863FCD" w:rsidRDefault="00863FCD" w:rsidP="00863FCD">
      <w:pPr>
        <w:pStyle w:val="2-OrtaBaslk0"/>
        <w:spacing w:line="240" w:lineRule="exact"/>
        <w:rPr>
          <w:rFonts w:hAnsi="Times New Roman"/>
          <w:sz w:val="18"/>
          <w:szCs w:val="18"/>
        </w:rPr>
      </w:pPr>
      <w:r>
        <w:rPr>
          <w:rFonts w:hAnsi="Times New Roman"/>
          <w:sz w:val="18"/>
          <w:szCs w:val="18"/>
        </w:rPr>
        <w:t>Uygulama</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Görevli kurum ve kuruluşlar</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ÇMVA katılım desteği ödemeleri uygulaması, Bakanlık Tarım Reformu Genel Müdürlüğü, merkez ve il ÇMVA Komisyonları ile il müdürlükleri tarafından yürütülür.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Uygulama takvimi</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İşletmelerin bir muhasebe yılı boyunca gerçekleştirdiği tarımsal faaliyetlerine ilişkin veriler takip eden yıl içinde, anket yoluyla toplanır.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(2) Her işletme için sadece bir anket formu düzenlenir.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(3) Sorumlu Birim tarafından her bir il için bildirilen sayıda işletme il ÇMVA komisyonları tarafından seçilir. Seçilen işletmelerle il müdürlükleri arasında katılım anlaşması imzalanır.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(4) Katılım anlaşması imzalanan işletmelere anket uygulanır. Anket formları il müdürlüklerince kontrol edilmelerinin ardından Sorumlu Birime gönderilir.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(5) Anket formları Sorumlu Birim tarafından testlere tabi tutularak değerlendirilir. Sorumlu Birim tarafından anket formları doğrulanan işletmeler, kesin icmalleri alınmak üzere il ÇMVA Komisyonuna bildirilir.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(6) İl ÇMVA komisyonlarınca anket formu doğrulanan işletmeler için, ÇKS sistemi aracılığıyla, 2011 yılı ÇMVA katılım desteği girişleri yapılır. İşletmelerin kesin icmalleri alınarak İcmal 2 onaylanıp, Sorumlu Birime gönderilir.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(7) Sorumlu Birim İcmal 2 seviyesinde ödemeye esas bilgileri Bankaya gönderir.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(8) Yukarıda geçen tüm işlemlerin gerçekleştirilmesi esnasında görevlilerce veri güvenliğinin sağlanmasıyla ilgili esaslara uyulur.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(9) Sorumlu Birimle il müdürlüğü arasında uygulamaya ilişkin koordinasyon ÇMVA il koordinatörleri tarafından sağlanır. Bu kapsamda il sınırları dâhilinde formların anketörlere dağıtılmasından, uygulamanın takibinden, doldurulan formların merkeze gönderilmesinden ve doğrulama sürecinin tamamlanmasından il ÇMVA koordinatörleri sorumludur.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Uygulamaların denetimine ilişkin görev ve yetkiler</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ÇMVA katılım desteği uygulamasında, il ÇMVA komisyonlarının çözemediği ihtilaflı durumlar Merkez ÇMVA Komisyonu tarafından değerlendirilerek karara bağlanır. Sonuç alınamayan durumlar Bakanlık Rehberlik ve Teftiş Başkanlığına iletilir.</w:t>
      </w:r>
    </w:p>
    <w:p w:rsidR="00863FCD" w:rsidRDefault="00863FCD" w:rsidP="00863FCD">
      <w:pPr>
        <w:pStyle w:val="2-OrtaBaslk0"/>
        <w:spacing w:line="240" w:lineRule="exact"/>
        <w:rPr>
          <w:rFonts w:hAnsi="Times New Roman"/>
          <w:sz w:val="18"/>
          <w:szCs w:val="18"/>
        </w:rPr>
      </w:pPr>
      <w:r>
        <w:rPr>
          <w:rFonts w:hAnsi="Times New Roman"/>
          <w:sz w:val="18"/>
          <w:szCs w:val="18"/>
        </w:rPr>
        <w:t>DÖRDÜNCÜ BÖLÜM</w:t>
      </w:r>
    </w:p>
    <w:p w:rsidR="00863FCD" w:rsidRDefault="00863FCD" w:rsidP="00863FCD">
      <w:pPr>
        <w:pStyle w:val="2-OrtaBaslk0"/>
        <w:spacing w:line="240" w:lineRule="exact"/>
        <w:rPr>
          <w:rFonts w:hAnsi="Times New Roman"/>
          <w:sz w:val="18"/>
          <w:szCs w:val="18"/>
        </w:rPr>
      </w:pPr>
      <w:r>
        <w:rPr>
          <w:rFonts w:hAnsi="Times New Roman"/>
          <w:sz w:val="18"/>
          <w:szCs w:val="18"/>
        </w:rPr>
        <w:t>ÇMVA Katılım Desteğinden Yararlanamayacaklar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ÇMVA Katılım Destek kapsamı dışında kalacak tarımsal işletmeler</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Aşağıdaki tarımsal işletmeler ÇMVA Katılım Desteği uygulamasından yararlanamaz.</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 xml:space="preserve">a) İlgili muhasebe yılında </w:t>
      </w:r>
      <w:proofErr w:type="spellStart"/>
      <w:r>
        <w:rPr>
          <w:rFonts w:hAnsi="Times New Roman"/>
          <w:sz w:val="18"/>
          <w:szCs w:val="18"/>
        </w:rPr>
        <w:t>ÇKS’ye</w:t>
      </w:r>
      <w:proofErr w:type="spellEnd"/>
      <w:r>
        <w:rPr>
          <w:rFonts w:hAnsi="Times New Roman"/>
          <w:sz w:val="18"/>
          <w:szCs w:val="18"/>
        </w:rPr>
        <w:t xml:space="preserve"> kayıtlı olmayan,</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b) Katılım anlaşması imzalamak suretiyle başvuru yapmayan,</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c) Verilerini istenen zamanda ve doğru olarak veri toplayıcılar ile paylaşmayan,</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ç) Sorumlu Birim tarafından yapılan değerlendirmeler sonucunda formları doğrulanmayan,</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d) Kendi isteğiyle sistemden çıkan tarımsal işletmeler.</w:t>
      </w:r>
    </w:p>
    <w:p w:rsidR="00863FCD" w:rsidRDefault="00863FCD" w:rsidP="00863FCD">
      <w:pPr>
        <w:pStyle w:val="2-OrtaBaslk0"/>
        <w:spacing w:line="240" w:lineRule="exact"/>
        <w:rPr>
          <w:rFonts w:hAnsi="Times New Roman"/>
          <w:sz w:val="18"/>
          <w:szCs w:val="18"/>
        </w:rPr>
      </w:pPr>
      <w:r>
        <w:rPr>
          <w:rFonts w:hAnsi="Times New Roman"/>
          <w:sz w:val="18"/>
          <w:szCs w:val="18"/>
        </w:rPr>
        <w:lastRenderedPageBreak/>
        <w:t>BEŞİNCİ BÖLÜM</w:t>
      </w:r>
    </w:p>
    <w:p w:rsidR="00863FCD" w:rsidRDefault="00863FCD" w:rsidP="00863FCD">
      <w:pPr>
        <w:pStyle w:val="2-OrtaBaslk0"/>
        <w:spacing w:line="240" w:lineRule="exact"/>
        <w:rPr>
          <w:rFonts w:hAnsi="Times New Roman"/>
          <w:sz w:val="18"/>
          <w:szCs w:val="18"/>
        </w:rPr>
      </w:pPr>
      <w:r>
        <w:rPr>
          <w:rFonts w:hAnsi="Times New Roman"/>
          <w:sz w:val="18"/>
          <w:szCs w:val="18"/>
        </w:rPr>
        <w:t>Çeşitli ve Son Hükümler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Haksız ödemelerin geri alınması ve hak mahrumiyeti</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Haksız yere yapılan destekleme ödemeleri, ödeme tarihinden itibaren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863FCD" w:rsidRDefault="00863FCD" w:rsidP="00863FCD">
      <w:pPr>
        <w:pStyle w:val="3-NormalYaz0"/>
        <w:spacing w:line="240" w:lineRule="exact"/>
        <w:ind w:firstLine="566"/>
        <w:rPr>
          <w:rFonts w:hAnsi="Times New Roman"/>
          <w:sz w:val="18"/>
          <w:szCs w:val="18"/>
        </w:rPr>
      </w:pPr>
      <w:r>
        <w:rPr>
          <w:rFonts w:hAnsi="Times New Roman"/>
          <w:sz w:val="18"/>
          <w:szCs w:val="18"/>
        </w:rPr>
        <w:t>(2) Bu Karar kapsamındaki destekleme ödemelerinden, idari hata sonucu düzenlenen belgelerle yapılan ödemeler hariç, haksız yere yararlandığı tespit edilen üreticiler, beş yıl süreyle hiçbir destekleme programından yararlandırılmazlar.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Yürürlük</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Bu Tebliğ yayımı tarihinde yürürlüğe girer.</w:t>
      </w:r>
    </w:p>
    <w:p w:rsidR="00863FCD" w:rsidRDefault="00863FCD" w:rsidP="00863FCD">
      <w:pPr>
        <w:pStyle w:val="3-NormalYaz0"/>
        <w:spacing w:line="240" w:lineRule="exact"/>
        <w:ind w:firstLine="566"/>
        <w:rPr>
          <w:rFonts w:hAnsi="Times New Roman"/>
          <w:b/>
          <w:sz w:val="18"/>
          <w:szCs w:val="18"/>
        </w:rPr>
      </w:pPr>
      <w:r>
        <w:rPr>
          <w:rFonts w:hAnsi="Times New Roman"/>
          <w:b/>
          <w:sz w:val="18"/>
          <w:szCs w:val="18"/>
        </w:rPr>
        <w:t>Yürütme</w:t>
      </w:r>
    </w:p>
    <w:p w:rsidR="00863FCD" w:rsidRDefault="00863FCD" w:rsidP="00863FCD">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Bu Tebliğ hükümlerini Gıda, Tarım ve Hayvancılık Bakanı yürütür.</w:t>
      </w:r>
    </w:p>
    <w:p w:rsidR="00863FCD" w:rsidRDefault="00863FCD" w:rsidP="00863FCD">
      <w:pPr>
        <w:tabs>
          <w:tab w:val="left" w:pos="566"/>
          <w:tab w:val="center" w:pos="994"/>
          <w:tab w:val="center" w:pos="3543"/>
          <w:tab w:val="right" w:pos="6519"/>
        </w:tabs>
        <w:spacing w:line="240" w:lineRule="exact"/>
        <w:jc w:val="center"/>
        <w:rPr>
          <w:rFonts w:hAnsi="Times New Roman"/>
          <w:sz w:val="18"/>
          <w:szCs w:val="18"/>
        </w:rPr>
      </w:pPr>
    </w:p>
    <w:p w:rsidR="00863FCD" w:rsidRDefault="00863FCD" w:rsidP="00863FCD">
      <w:pPr>
        <w:tabs>
          <w:tab w:val="left" w:pos="566"/>
          <w:tab w:val="center" w:pos="994"/>
          <w:tab w:val="center" w:pos="3543"/>
          <w:tab w:val="right" w:pos="6519"/>
        </w:tabs>
        <w:spacing w:line="240" w:lineRule="exact"/>
        <w:jc w:val="center"/>
        <w:rPr>
          <w:sz w:val="18"/>
          <w:szCs w:val="18"/>
        </w:rPr>
      </w:pPr>
    </w:p>
    <w:p w:rsidR="00863FCD" w:rsidRDefault="00863FCD" w:rsidP="00863FCD">
      <w:pPr>
        <w:tabs>
          <w:tab w:val="left" w:pos="566"/>
          <w:tab w:val="center" w:pos="994"/>
          <w:tab w:val="center" w:pos="3543"/>
          <w:tab w:val="right" w:pos="6519"/>
        </w:tabs>
        <w:spacing w:line="240" w:lineRule="exact"/>
        <w:rPr>
          <w:b/>
          <w:sz w:val="18"/>
          <w:szCs w:val="18"/>
        </w:rPr>
      </w:pPr>
      <w:hyperlink r:id="rId6" w:history="1">
        <w:r>
          <w:rPr>
            <w:rStyle w:val="Kpr"/>
            <w:b/>
            <w:sz w:val="18"/>
            <w:szCs w:val="18"/>
          </w:rPr>
          <w:t>Ekleri için tıklayınız.</w:t>
        </w:r>
      </w:hyperlink>
    </w:p>
    <w:p w:rsidR="00863FCD" w:rsidRDefault="00863FCD" w:rsidP="00832901">
      <w:pPr>
        <w:pStyle w:val="NormalWeb"/>
        <w:spacing w:before="0" w:beforeAutospacing="0" w:after="0" w:afterAutospacing="0" w:line="276" w:lineRule="auto"/>
        <w:rPr>
          <w:b/>
          <w:color w:val="auto"/>
          <w:sz w:val="20"/>
          <w:szCs w:val="20"/>
          <w:u w:val="single"/>
        </w:rPr>
      </w:pPr>
    </w:p>
    <w:sectPr w:rsidR="00863FCD"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BEE" w:rsidRDefault="00981BEE" w:rsidP="003A1052">
      <w:pPr>
        <w:spacing w:after="0" w:line="240" w:lineRule="auto"/>
      </w:pPr>
      <w:r>
        <w:separator/>
      </w:r>
    </w:p>
  </w:endnote>
  <w:endnote w:type="continuationSeparator" w:id="0">
    <w:p w:rsidR="00981BEE" w:rsidRDefault="00981BE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BEE" w:rsidRDefault="00981BEE" w:rsidP="003A1052">
      <w:pPr>
        <w:spacing w:after="0" w:line="240" w:lineRule="auto"/>
      </w:pPr>
      <w:r>
        <w:separator/>
      </w:r>
    </w:p>
  </w:footnote>
  <w:footnote w:type="continuationSeparator" w:id="0">
    <w:p w:rsidR="00981BEE" w:rsidRDefault="00981BE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D4AE3"/>
    <w:rsid w:val="003D5023"/>
    <w:rsid w:val="003D5D8E"/>
    <w:rsid w:val="003E7E22"/>
    <w:rsid w:val="003F74F6"/>
    <w:rsid w:val="004114C2"/>
    <w:rsid w:val="0041435E"/>
    <w:rsid w:val="00417B93"/>
    <w:rsid w:val="004258BF"/>
    <w:rsid w:val="00425FF3"/>
    <w:rsid w:val="004349E9"/>
    <w:rsid w:val="0043568D"/>
    <w:rsid w:val="00440367"/>
    <w:rsid w:val="00443724"/>
    <w:rsid w:val="00474EFC"/>
    <w:rsid w:val="00482025"/>
    <w:rsid w:val="00487223"/>
    <w:rsid w:val="00487ADF"/>
    <w:rsid w:val="0049211B"/>
    <w:rsid w:val="004B1FB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7318F"/>
    <w:rsid w:val="00597082"/>
    <w:rsid w:val="005A5606"/>
    <w:rsid w:val="005A6ABE"/>
    <w:rsid w:val="005C3E39"/>
    <w:rsid w:val="005D3CD6"/>
    <w:rsid w:val="005E0983"/>
    <w:rsid w:val="005E5275"/>
    <w:rsid w:val="005E68DA"/>
    <w:rsid w:val="00605BA2"/>
    <w:rsid w:val="006077AA"/>
    <w:rsid w:val="00623CBF"/>
    <w:rsid w:val="00627628"/>
    <w:rsid w:val="00627BD5"/>
    <w:rsid w:val="00642DC9"/>
    <w:rsid w:val="006437D1"/>
    <w:rsid w:val="0064395E"/>
    <w:rsid w:val="006864B7"/>
    <w:rsid w:val="0068655A"/>
    <w:rsid w:val="00687BCB"/>
    <w:rsid w:val="006938DD"/>
    <w:rsid w:val="006B16F2"/>
    <w:rsid w:val="006B1E2F"/>
    <w:rsid w:val="006B2D9E"/>
    <w:rsid w:val="006B3478"/>
    <w:rsid w:val="006C2D9D"/>
    <w:rsid w:val="006C6633"/>
    <w:rsid w:val="006D754C"/>
    <w:rsid w:val="006E5E29"/>
    <w:rsid w:val="00702EA8"/>
    <w:rsid w:val="00741B89"/>
    <w:rsid w:val="00747E83"/>
    <w:rsid w:val="0076197D"/>
    <w:rsid w:val="00762C8F"/>
    <w:rsid w:val="00764A2F"/>
    <w:rsid w:val="0077547F"/>
    <w:rsid w:val="0078184F"/>
    <w:rsid w:val="00794576"/>
    <w:rsid w:val="00796882"/>
    <w:rsid w:val="007A233C"/>
    <w:rsid w:val="007A5B45"/>
    <w:rsid w:val="007A614F"/>
    <w:rsid w:val="007B6BC2"/>
    <w:rsid w:val="007C49D4"/>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C2BB5"/>
    <w:rsid w:val="008C3907"/>
    <w:rsid w:val="008C5952"/>
    <w:rsid w:val="008E1E88"/>
    <w:rsid w:val="008E2061"/>
    <w:rsid w:val="008E4DA0"/>
    <w:rsid w:val="008F5931"/>
    <w:rsid w:val="00901E61"/>
    <w:rsid w:val="0090669C"/>
    <w:rsid w:val="00917B47"/>
    <w:rsid w:val="00917E40"/>
    <w:rsid w:val="00920EFE"/>
    <w:rsid w:val="00923977"/>
    <w:rsid w:val="009445C8"/>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C42AB"/>
    <w:rsid w:val="00AC4B67"/>
    <w:rsid w:val="00AF5538"/>
    <w:rsid w:val="00AF5CA9"/>
    <w:rsid w:val="00B00A87"/>
    <w:rsid w:val="00B04B00"/>
    <w:rsid w:val="00B36B6D"/>
    <w:rsid w:val="00B4320D"/>
    <w:rsid w:val="00B437BB"/>
    <w:rsid w:val="00B648B6"/>
    <w:rsid w:val="00B716D7"/>
    <w:rsid w:val="00B7286A"/>
    <w:rsid w:val="00B76E62"/>
    <w:rsid w:val="00B83D4A"/>
    <w:rsid w:val="00B83F16"/>
    <w:rsid w:val="00B85E7E"/>
    <w:rsid w:val="00BA3092"/>
    <w:rsid w:val="00BA4F93"/>
    <w:rsid w:val="00BB42AF"/>
    <w:rsid w:val="00BC5A40"/>
    <w:rsid w:val="00BE17BD"/>
    <w:rsid w:val="00BE395A"/>
    <w:rsid w:val="00C01829"/>
    <w:rsid w:val="00C04DA6"/>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14499"/>
    <w:rsid w:val="00D241B1"/>
    <w:rsid w:val="00D30B8A"/>
    <w:rsid w:val="00D31EC8"/>
    <w:rsid w:val="00D46F62"/>
    <w:rsid w:val="00D52BE4"/>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7917"/>
    <w:rsid w:val="00E27E35"/>
    <w:rsid w:val="00E54AB3"/>
    <w:rsid w:val="00E604D2"/>
    <w:rsid w:val="00E60806"/>
    <w:rsid w:val="00E8213C"/>
    <w:rsid w:val="00E962DD"/>
    <w:rsid w:val="00EA397E"/>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0/20111016-3-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1450</Words>
  <Characters>8267</Characters>
  <Application>Microsoft Office Word</Application>
  <DocSecurity>0</DocSecurity>
  <Lines>68</Lines>
  <Paragraphs>19</Paragraphs>
  <ScaleCrop>false</ScaleCrop>
  <Company>TURMOB</Company>
  <LinksUpToDate>false</LinksUpToDate>
  <CharactersWithSpaces>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229</cp:revision>
  <dcterms:created xsi:type="dcterms:W3CDTF">2011-07-01T05:43:00Z</dcterms:created>
  <dcterms:modified xsi:type="dcterms:W3CDTF">2011-10-17T05:39:00Z</dcterms:modified>
</cp:coreProperties>
</file>