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59644E" w:rsidRDefault="000C7F06" w:rsidP="008B30CF">
      <w:pPr>
        <w:pStyle w:val="NormalWeb"/>
        <w:spacing w:before="0" w:beforeAutospacing="0" w:after="0" w:afterAutospacing="0" w:line="260" w:lineRule="atLeast"/>
        <w:rPr>
          <w:b/>
          <w:color w:val="auto"/>
          <w:sz w:val="20"/>
          <w:szCs w:val="20"/>
          <w:u w:val="single"/>
        </w:rPr>
      </w:pPr>
      <w:r w:rsidRPr="0059644E">
        <w:rPr>
          <w:b/>
          <w:color w:val="auto"/>
          <w:sz w:val="20"/>
          <w:szCs w:val="20"/>
          <w:u w:val="single"/>
        </w:rPr>
        <w:t>2</w:t>
      </w:r>
      <w:r w:rsidR="00B84A53" w:rsidRPr="0059644E">
        <w:rPr>
          <w:b/>
          <w:color w:val="auto"/>
          <w:sz w:val="20"/>
          <w:szCs w:val="20"/>
          <w:u w:val="single"/>
        </w:rPr>
        <w:t>3</w:t>
      </w:r>
      <w:r w:rsidR="00B04B00" w:rsidRPr="0059644E">
        <w:rPr>
          <w:b/>
          <w:color w:val="auto"/>
          <w:sz w:val="20"/>
          <w:szCs w:val="20"/>
          <w:u w:val="single"/>
        </w:rPr>
        <w:t xml:space="preserve"> Ekim</w:t>
      </w:r>
      <w:r w:rsidR="004114C2" w:rsidRPr="0059644E">
        <w:rPr>
          <w:b/>
          <w:color w:val="auto"/>
          <w:sz w:val="20"/>
          <w:szCs w:val="20"/>
          <w:u w:val="single"/>
        </w:rPr>
        <w:t xml:space="preserve"> </w:t>
      </w:r>
      <w:r w:rsidR="009F6B64" w:rsidRPr="0059644E">
        <w:rPr>
          <w:b/>
          <w:color w:val="auto"/>
          <w:sz w:val="20"/>
          <w:szCs w:val="20"/>
          <w:u w:val="single"/>
        </w:rPr>
        <w:t>2011 Tarih,</w:t>
      </w:r>
      <w:r w:rsidR="009F6B64" w:rsidRPr="0059644E">
        <w:rPr>
          <w:b/>
          <w:color w:val="auto"/>
          <w:sz w:val="20"/>
          <w:szCs w:val="20"/>
          <w:u w:val="single"/>
        </w:rPr>
        <w:tab/>
      </w:r>
      <w:r w:rsidR="009F6B64" w:rsidRPr="0059644E">
        <w:rPr>
          <w:b/>
          <w:color w:val="auto"/>
          <w:sz w:val="20"/>
          <w:szCs w:val="20"/>
          <w:u w:val="single"/>
        </w:rPr>
        <w:tab/>
      </w:r>
      <w:r w:rsidR="009F6B64" w:rsidRPr="0059644E">
        <w:rPr>
          <w:b/>
          <w:color w:val="auto"/>
          <w:sz w:val="20"/>
          <w:szCs w:val="20"/>
          <w:u w:val="single"/>
        </w:rPr>
        <w:tab/>
      </w:r>
      <w:r w:rsidR="009F6B64" w:rsidRPr="0059644E">
        <w:rPr>
          <w:b/>
          <w:color w:val="auto"/>
          <w:sz w:val="20"/>
          <w:szCs w:val="20"/>
          <w:u w:val="single"/>
        </w:rPr>
        <w:tab/>
      </w:r>
      <w:r w:rsidR="009F6B64" w:rsidRPr="0059644E">
        <w:rPr>
          <w:b/>
          <w:color w:val="auto"/>
          <w:sz w:val="20"/>
          <w:szCs w:val="20"/>
          <w:u w:val="single"/>
        </w:rPr>
        <w:tab/>
      </w:r>
      <w:r w:rsidR="009F6B64" w:rsidRPr="0059644E">
        <w:rPr>
          <w:b/>
          <w:color w:val="auto"/>
          <w:sz w:val="20"/>
          <w:szCs w:val="20"/>
          <w:u w:val="single"/>
        </w:rPr>
        <w:tab/>
      </w:r>
      <w:r w:rsidR="00127623" w:rsidRPr="0059644E">
        <w:rPr>
          <w:b/>
          <w:color w:val="auto"/>
          <w:sz w:val="20"/>
          <w:szCs w:val="20"/>
          <w:u w:val="single"/>
        </w:rPr>
        <w:tab/>
      </w:r>
      <w:r w:rsidR="008651DA" w:rsidRPr="0059644E">
        <w:rPr>
          <w:b/>
          <w:color w:val="auto"/>
          <w:sz w:val="20"/>
          <w:szCs w:val="20"/>
          <w:u w:val="single"/>
        </w:rPr>
        <w:tab/>
      </w:r>
      <w:r w:rsidR="00B84A53" w:rsidRPr="0059644E">
        <w:rPr>
          <w:b/>
          <w:color w:val="auto"/>
          <w:sz w:val="20"/>
          <w:szCs w:val="20"/>
          <w:u w:val="single"/>
        </w:rPr>
        <w:tab/>
      </w:r>
      <w:r w:rsidR="00832901" w:rsidRPr="0059644E">
        <w:rPr>
          <w:b/>
          <w:color w:val="auto"/>
          <w:sz w:val="20"/>
          <w:szCs w:val="20"/>
          <w:u w:val="single"/>
        </w:rPr>
        <w:t xml:space="preserve">  </w:t>
      </w:r>
      <w:r w:rsidR="006B1E2F" w:rsidRPr="0059644E">
        <w:rPr>
          <w:b/>
          <w:color w:val="auto"/>
          <w:sz w:val="20"/>
          <w:szCs w:val="20"/>
          <w:u w:val="single"/>
        </w:rPr>
        <w:t xml:space="preserve"> </w:t>
      </w:r>
      <w:r w:rsidR="00FF555D" w:rsidRPr="0059644E">
        <w:rPr>
          <w:b/>
          <w:color w:val="auto"/>
          <w:sz w:val="20"/>
          <w:szCs w:val="20"/>
          <w:u w:val="single"/>
        </w:rPr>
        <w:t>S</w:t>
      </w:r>
      <w:r w:rsidR="00487223" w:rsidRPr="0059644E">
        <w:rPr>
          <w:b/>
          <w:color w:val="auto"/>
          <w:sz w:val="20"/>
          <w:szCs w:val="20"/>
          <w:u w:val="single"/>
        </w:rPr>
        <w:t>ayı: 280</w:t>
      </w:r>
      <w:r w:rsidR="00B84A53" w:rsidRPr="0059644E">
        <w:rPr>
          <w:b/>
          <w:color w:val="auto"/>
          <w:sz w:val="20"/>
          <w:szCs w:val="20"/>
          <w:u w:val="single"/>
        </w:rPr>
        <w:t>93</w:t>
      </w:r>
    </w:p>
    <w:p w:rsidR="00BD3362" w:rsidRPr="0059644E" w:rsidRDefault="00BD3362" w:rsidP="00BD3362">
      <w:pPr>
        <w:rPr>
          <w:rStyle w:val="spelle"/>
          <w:rFonts w:ascii="Times New Roman" w:hAnsi="Times New Roman" w:cs="Times New Roman"/>
          <w:b/>
          <w:sz w:val="20"/>
          <w:szCs w:val="20"/>
          <w:lang w:val="en-GB"/>
        </w:rPr>
      </w:pPr>
    </w:p>
    <w:p w:rsidR="0059644E" w:rsidRPr="0059644E" w:rsidRDefault="0059644E" w:rsidP="0059644E">
      <w:pPr>
        <w:pStyle w:val="NormalWeb"/>
        <w:spacing w:before="0" w:beforeAutospacing="0" w:after="0" w:afterAutospacing="0" w:line="276" w:lineRule="auto"/>
        <w:rPr>
          <w:b/>
          <w:color w:val="auto"/>
          <w:sz w:val="20"/>
          <w:szCs w:val="20"/>
        </w:rPr>
      </w:pPr>
      <w:r w:rsidRPr="0059644E">
        <w:rPr>
          <w:b/>
          <w:color w:val="auto"/>
          <w:sz w:val="20"/>
          <w:szCs w:val="20"/>
        </w:rPr>
        <w:t>Bilgi Teknolojileri ve İletişim Kurumundan:</w:t>
      </w:r>
    </w:p>
    <w:p w:rsidR="0059644E" w:rsidRPr="0059644E" w:rsidRDefault="0059644E" w:rsidP="0059644E">
      <w:pPr>
        <w:pStyle w:val="2-ortabaslk"/>
        <w:spacing w:before="0" w:beforeAutospacing="0" w:after="0" w:afterAutospacing="0" w:line="276" w:lineRule="auto"/>
        <w:rPr>
          <w:color w:val="auto"/>
          <w:sz w:val="20"/>
          <w:szCs w:val="20"/>
        </w:rPr>
      </w:pPr>
      <w:r w:rsidRPr="0059644E">
        <w:rPr>
          <w:color w:val="auto"/>
          <w:sz w:val="20"/>
          <w:szCs w:val="20"/>
        </w:rPr>
        <w:t> </w:t>
      </w:r>
    </w:p>
    <w:p w:rsidR="0059644E" w:rsidRPr="0059644E" w:rsidRDefault="0059644E" w:rsidP="0059644E">
      <w:pPr>
        <w:pStyle w:val="2-ortabaslk"/>
        <w:spacing w:before="0" w:beforeAutospacing="0" w:after="0" w:afterAutospacing="0" w:line="276" w:lineRule="auto"/>
        <w:jc w:val="center"/>
        <w:rPr>
          <w:color w:val="auto"/>
          <w:sz w:val="20"/>
          <w:szCs w:val="20"/>
        </w:rPr>
      </w:pPr>
      <w:proofErr w:type="gramStart"/>
      <w:r w:rsidRPr="0059644E">
        <w:rPr>
          <w:rStyle w:val="grame"/>
          <w:b/>
          <w:bCs/>
          <w:color w:val="auto"/>
          <w:sz w:val="20"/>
          <w:szCs w:val="20"/>
        </w:rPr>
        <w:t>SINAİ</w:t>
      </w:r>
      <w:proofErr w:type="gramEnd"/>
      <w:r w:rsidRPr="0059644E">
        <w:rPr>
          <w:b/>
          <w:bCs/>
          <w:color w:val="auto"/>
          <w:sz w:val="20"/>
          <w:szCs w:val="20"/>
        </w:rPr>
        <w:t>, BİLİMSEL VE TIBBİ (SBT) CİHAZLAR YÖNETMELİĞİ</w:t>
      </w:r>
    </w:p>
    <w:p w:rsidR="0059644E" w:rsidRPr="0059644E" w:rsidRDefault="0059644E" w:rsidP="0059644E">
      <w:pPr>
        <w:pStyle w:val="2-ortabaslk"/>
        <w:spacing w:before="0" w:beforeAutospacing="0" w:after="0" w:afterAutospacing="0" w:line="276" w:lineRule="auto"/>
        <w:jc w:val="center"/>
        <w:rPr>
          <w:color w:val="auto"/>
          <w:sz w:val="20"/>
          <w:szCs w:val="20"/>
        </w:rPr>
      </w:pPr>
      <w:r w:rsidRPr="0059644E">
        <w:rPr>
          <w:b/>
          <w:bCs/>
          <w:color w:val="auto"/>
          <w:sz w:val="20"/>
          <w:szCs w:val="20"/>
        </w:rPr>
        <w:t> </w:t>
      </w:r>
    </w:p>
    <w:p w:rsidR="0059644E" w:rsidRPr="0059644E" w:rsidRDefault="0059644E" w:rsidP="0059644E">
      <w:pPr>
        <w:pStyle w:val="2-ortabaslk"/>
        <w:spacing w:before="0" w:beforeAutospacing="0" w:after="0" w:afterAutospacing="0" w:line="276" w:lineRule="auto"/>
        <w:jc w:val="center"/>
        <w:rPr>
          <w:color w:val="auto"/>
          <w:sz w:val="20"/>
          <w:szCs w:val="20"/>
        </w:rPr>
      </w:pPr>
      <w:r w:rsidRPr="0059644E">
        <w:rPr>
          <w:b/>
          <w:bCs/>
          <w:color w:val="auto"/>
          <w:sz w:val="20"/>
          <w:szCs w:val="20"/>
        </w:rPr>
        <w:t>BİRİNCİ BÖLÜM</w:t>
      </w:r>
    </w:p>
    <w:p w:rsidR="0059644E" w:rsidRPr="0059644E" w:rsidRDefault="0059644E" w:rsidP="0059644E">
      <w:pPr>
        <w:pStyle w:val="2-ortabaslk"/>
        <w:spacing w:before="0" w:beforeAutospacing="0" w:after="0" w:afterAutospacing="0" w:line="276" w:lineRule="auto"/>
        <w:jc w:val="center"/>
        <w:rPr>
          <w:color w:val="auto"/>
          <w:sz w:val="20"/>
          <w:szCs w:val="20"/>
        </w:rPr>
      </w:pPr>
      <w:r w:rsidRPr="0059644E">
        <w:rPr>
          <w:b/>
          <w:bCs/>
          <w:color w:val="auto"/>
          <w:sz w:val="20"/>
          <w:szCs w:val="20"/>
        </w:rPr>
        <w:t>Amaç, Kapsam, Dayanak, Kısaltmalar ve Tanımlar</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b/>
          <w:sz w:val="20"/>
          <w:szCs w:val="20"/>
        </w:rPr>
        <w:t>Amaç</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b/>
          <w:sz w:val="20"/>
          <w:szCs w:val="20"/>
        </w:rPr>
        <w:t xml:space="preserve">MADDE 1 – </w:t>
      </w:r>
      <w:r w:rsidRPr="0059644E">
        <w:rPr>
          <w:rFonts w:ascii="Times New Roman" w:hAnsi="Times New Roman" w:cs="Times New Roman"/>
          <w:sz w:val="20"/>
          <w:szCs w:val="20"/>
        </w:rPr>
        <w:t xml:space="preserve">(1) Bu Yönetmeliğin amacı; haberleşme maksadı taşımaksızın elektromanyetik enerji yayan ve sanayi, bilim ve tıp alanlarında veya enerjinin elektromanyetik yoldan aktarıldığı benzer alanlarda kullanılan cihazların belirlenen frekans </w:t>
      </w:r>
      <w:proofErr w:type="spellStart"/>
      <w:r w:rsidRPr="0059644E">
        <w:rPr>
          <w:rStyle w:val="spelle"/>
          <w:rFonts w:ascii="Times New Roman" w:hAnsi="Times New Roman" w:cs="Times New Roman"/>
          <w:sz w:val="20"/>
          <w:szCs w:val="20"/>
        </w:rPr>
        <w:t>bandlarında</w:t>
      </w:r>
      <w:proofErr w:type="spellEnd"/>
      <w:r w:rsidRPr="0059644E">
        <w:rPr>
          <w:rFonts w:ascii="Times New Roman" w:hAnsi="Times New Roman" w:cs="Times New Roman"/>
          <w:sz w:val="20"/>
          <w:szCs w:val="20"/>
        </w:rPr>
        <w:t xml:space="preserve"> kullanımına ilişkin usul ve esasları belirlemektir.</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b/>
          <w:sz w:val="20"/>
          <w:szCs w:val="20"/>
        </w:rPr>
        <w:t>Kapsam</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b/>
          <w:sz w:val="20"/>
          <w:szCs w:val="20"/>
        </w:rPr>
        <w:t xml:space="preserve">MADDE 2 – </w:t>
      </w:r>
      <w:r w:rsidRPr="0059644E">
        <w:rPr>
          <w:rFonts w:ascii="Times New Roman" w:hAnsi="Times New Roman" w:cs="Times New Roman"/>
          <w:sz w:val="20"/>
          <w:szCs w:val="20"/>
        </w:rPr>
        <w:t>(1) Bu Yönetmelik, haberleşme maksadı taşımaksızın elektromanyetik enerji yayan ve sanayi, bilim ve tıp alanlarında veya enerjinin elektromanyetik yoldan aktarıldığı benzer alanlarda kullanılan cihazları kapsar.</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b/>
          <w:sz w:val="20"/>
          <w:szCs w:val="20"/>
        </w:rPr>
        <w:t>Dayanak</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b/>
          <w:sz w:val="20"/>
          <w:szCs w:val="20"/>
        </w:rPr>
        <w:t>MADDE 3 –</w:t>
      </w:r>
      <w:r w:rsidRPr="0059644E">
        <w:rPr>
          <w:rFonts w:ascii="Times New Roman" w:hAnsi="Times New Roman" w:cs="Times New Roman"/>
          <w:sz w:val="20"/>
          <w:szCs w:val="20"/>
        </w:rPr>
        <w:t xml:space="preserve"> (1) Bu Yönetmelik, </w:t>
      </w:r>
      <w:proofErr w:type="gramStart"/>
      <w:r w:rsidRPr="0059644E">
        <w:rPr>
          <w:rStyle w:val="grame"/>
          <w:rFonts w:ascii="Times New Roman" w:hAnsi="Times New Roman" w:cs="Times New Roman"/>
          <w:sz w:val="20"/>
          <w:szCs w:val="20"/>
        </w:rPr>
        <w:t>5/11/2008</w:t>
      </w:r>
      <w:proofErr w:type="gramEnd"/>
      <w:r w:rsidRPr="0059644E">
        <w:rPr>
          <w:rFonts w:ascii="Times New Roman" w:hAnsi="Times New Roman" w:cs="Times New Roman"/>
          <w:sz w:val="20"/>
          <w:szCs w:val="20"/>
        </w:rPr>
        <w:t xml:space="preserve"> tarihli ve 5809 sayılı Elektronik Haberleşme Kanununun 6 </w:t>
      </w:r>
      <w:proofErr w:type="spellStart"/>
      <w:r w:rsidRPr="0059644E">
        <w:rPr>
          <w:rStyle w:val="spelle"/>
          <w:rFonts w:ascii="Times New Roman" w:hAnsi="Times New Roman" w:cs="Times New Roman"/>
          <w:sz w:val="20"/>
          <w:szCs w:val="20"/>
        </w:rPr>
        <w:t>ncı</w:t>
      </w:r>
      <w:proofErr w:type="spellEnd"/>
      <w:r w:rsidRPr="0059644E">
        <w:rPr>
          <w:rFonts w:ascii="Times New Roman" w:hAnsi="Times New Roman" w:cs="Times New Roman"/>
          <w:sz w:val="20"/>
          <w:szCs w:val="20"/>
        </w:rPr>
        <w:t xml:space="preserve"> ve 36 </w:t>
      </w:r>
      <w:proofErr w:type="spellStart"/>
      <w:r w:rsidRPr="0059644E">
        <w:rPr>
          <w:rStyle w:val="spelle"/>
          <w:rFonts w:ascii="Times New Roman" w:hAnsi="Times New Roman" w:cs="Times New Roman"/>
          <w:sz w:val="20"/>
          <w:szCs w:val="20"/>
        </w:rPr>
        <w:t>ncı</w:t>
      </w:r>
      <w:proofErr w:type="spellEnd"/>
      <w:r w:rsidRPr="0059644E">
        <w:rPr>
          <w:rFonts w:ascii="Times New Roman" w:hAnsi="Times New Roman" w:cs="Times New Roman"/>
          <w:sz w:val="20"/>
          <w:szCs w:val="20"/>
        </w:rPr>
        <w:t xml:space="preserve"> maddelerine dayanılarak hazırlanmıştır.</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b/>
          <w:sz w:val="20"/>
          <w:szCs w:val="20"/>
        </w:rPr>
        <w:t>Kısaltma ve tanımlar</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b/>
          <w:sz w:val="20"/>
          <w:szCs w:val="20"/>
        </w:rPr>
        <w:t xml:space="preserve">MADDE 4 – </w:t>
      </w:r>
      <w:r w:rsidRPr="0059644E">
        <w:rPr>
          <w:rFonts w:ascii="Times New Roman" w:hAnsi="Times New Roman" w:cs="Times New Roman"/>
          <w:sz w:val="20"/>
          <w:szCs w:val="20"/>
        </w:rPr>
        <w:t>(1) Bu Yönetmelikte yer alan kısaltma ve tanımlardan;</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a) Elektromanyetik girişim (</w:t>
      </w:r>
      <w:proofErr w:type="spellStart"/>
      <w:r w:rsidRPr="0059644E">
        <w:rPr>
          <w:rStyle w:val="spelle"/>
          <w:rFonts w:ascii="Times New Roman" w:hAnsi="Times New Roman" w:cs="Times New Roman"/>
          <w:sz w:val="20"/>
          <w:szCs w:val="20"/>
        </w:rPr>
        <w:t>Enterferans</w:t>
      </w:r>
      <w:proofErr w:type="spellEnd"/>
      <w:r w:rsidRPr="0059644E">
        <w:rPr>
          <w:rFonts w:ascii="Times New Roman" w:hAnsi="Times New Roman" w:cs="Times New Roman"/>
          <w:sz w:val="20"/>
          <w:szCs w:val="20"/>
        </w:rPr>
        <w:t>): İlgili mevzuat hükümlerine uygun olarak yapılan her türlü elektronik haberleşmeyi engelleyen, kesinti doğuran veya kalitesini bozan her türlü yayın veya elektromanyetik etkiyi,</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xml:space="preserve">b) </w:t>
      </w:r>
      <w:proofErr w:type="spellStart"/>
      <w:r w:rsidRPr="0059644E">
        <w:rPr>
          <w:rFonts w:ascii="Times New Roman" w:hAnsi="Times New Roman" w:cs="Times New Roman"/>
          <w:sz w:val="20"/>
          <w:szCs w:val="20"/>
        </w:rPr>
        <w:t>GHz</w:t>
      </w:r>
      <w:proofErr w:type="spellEnd"/>
      <w:r w:rsidRPr="0059644E">
        <w:rPr>
          <w:rFonts w:ascii="Times New Roman" w:hAnsi="Times New Roman" w:cs="Times New Roman"/>
          <w:sz w:val="20"/>
          <w:szCs w:val="20"/>
        </w:rPr>
        <w:t xml:space="preserve">: </w:t>
      </w:r>
      <w:proofErr w:type="spellStart"/>
      <w:r w:rsidRPr="0059644E">
        <w:rPr>
          <w:rStyle w:val="spelle"/>
          <w:rFonts w:ascii="Times New Roman" w:hAnsi="Times New Roman" w:cs="Times New Roman"/>
          <w:sz w:val="20"/>
          <w:szCs w:val="20"/>
        </w:rPr>
        <w:t>Giga</w:t>
      </w:r>
      <w:proofErr w:type="spellEnd"/>
      <w:r w:rsidRPr="0059644E">
        <w:rPr>
          <w:rFonts w:ascii="Times New Roman" w:hAnsi="Times New Roman" w:cs="Times New Roman"/>
          <w:sz w:val="20"/>
          <w:szCs w:val="20"/>
        </w:rPr>
        <w:t xml:space="preserve"> Hertzi,</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lastRenderedPageBreak/>
        <w:t xml:space="preserve">c) </w:t>
      </w:r>
      <w:proofErr w:type="spellStart"/>
      <w:r w:rsidRPr="0059644E">
        <w:rPr>
          <w:rStyle w:val="spelle"/>
          <w:rFonts w:ascii="Times New Roman" w:hAnsi="Times New Roman" w:cs="Times New Roman"/>
          <w:sz w:val="20"/>
          <w:szCs w:val="20"/>
        </w:rPr>
        <w:t>Harmonik</w:t>
      </w:r>
      <w:proofErr w:type="spellEnd"/>
      <w:r w:rsidRPr="0059644E">
        <w:rPr>
          <w:rFonts w:ascii="Times New Roman" w:hAnsi="Times New Roman" w:cs="Times New Roman"/>
          <w:sz w:val="20"/>
          <w:szCs w:val="20"/>
        </w:rPr>
        <w:t>: Elektromanyetik bir dalga frekansının tam sayı katı veya basit kesirli katı frekansa sahip olan dalgaları,</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xml:space="preserve">ç) Kanun: </w:t>
      </w:r>
      <w:proofErr w:type="gramStart"/>
      <w:r w:rsidRPr="0059644E">
        <w:rPr>
          <w:rStyle w:val="grame"/>
          <w:rFonts w:ascii="Times New Roman" w:hAnsi="Times New Roman" w:cs="Times New Roman"/>
          <w:sz w:val="20"/>
          <w:szCs w:val="20"/>
        </w:rPr>
        <w:t>5/11/2008</w:t>
      </w:r>
      <w:proofErr w:type="gramEnd"/>
      <w:r w:rsidRPr="0059644E">
        <w:rPr>
          <w:rFonts w:ascii="Times New Roman" w:hAnsi="Times New Roman" w:cs="Times New Roman"/>
          <w:sz w:val="20"/>
          <w:szCs w:val="20"/>
        </w:rPr>
        <w:t xml:space="preserve"> tarihli ve 5809 sayılı Elektronik Haberleşme Kanununu,</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xml:space="preserve">d) </w:t>
      </w:r>
      <w:proofErr w:type="spellStart"/>
      <w:r w:rsidRPr="0059644E">
        <w:rPr>
          <w:rStyle w:val="spelle"/>
          <w:rFonts w:ascii="Times New Roman" w:hAnsi="Times New Roman" w:cs="Times New Roman"/>
          <w:sz w:val="20"/>
          <w:szCs w:val="20"/>
        </w:rPr>
        <w:t>kHz</w:t>
      </w:r>
      <w:proofErr w:type="spellEnd"/>
      <w:r w:rsidRPr="0059644E">
        <w:rPr>
          <w:rFonts w:ascii="Times New Roman" w:hAnsi="Times New Roman" w:cs="Times New Roman"/>
          <w:sz w:val="20"/>
          <w:szCs w:val="20"/>
        </w:rPr>
        <w:t>: Kilo Hertzi,</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e) Kurul: Bilgi Teknolojileri ve İletişim Kurulunu,</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f) Kurum: Bilgi Teknolojileri ve İletişim Kurumunu,</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xml:space="preserve">g) </w:t>
      </w:r>
      <w:proofErr w:type="spellStart"/>
      <w:r w:rsidRPr="0059644E">
        <w:rPr>
          <w:rFonts w:ascii="Times New Roman" w:hAnsi="Times New Roman" w:cs="Times New Roman"/>
          <w:sz w:val="20"/>
          <w:szCs w:val="20"/>
        </w:rPr>
        <w:t>MHz</w:t>
      </w:r>
      <w:proofErr w:type="spellEnd"/>
      <w:r w:rsidRPr="0059644E">
        <w:rPr>
          <w:rFonts w:ascii="Times New Roman" w:hAnsi="Times New Roman" w:cs="Times New Roman"/>
          <w:sz w:val="20"/>
          <w:szCs w:val="20"/>
        </w:rPr>
        <w:t>: Mega Hertzi,</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ğ) SBT (</w:t>
      </w:r>
      <w:proofErr w:type="gramStart"/>
      <w:r w:rsidRPr="0059644E">
        <w:rPr>
          <w:rStyle w:val="grame"/>
          <w:rFonts w:ascii="Times New Roman" w:hAnsi="Times New Roman" w:cs="Times New Roman"/>
          <w:sz w:val="20"/>
          <w:szCs w:val="20"/>
        </w:rPr>
        <w:t>Sınai</w:t>
      </w:r>
      <w:proofErr w:type="gramEnd"/>
      <w:r w:rsidRPr="0059644E">
        <w:rPr>
          <w:rFonts w:ascii="Times New Roman" w:hAnsi="Times New Roman" w:cs="Times New Roman"/>
          <w:sz w:val="20"/>
          <w:szCs w:val="20"/>
        </w:rPr>
        <w:t>, bilimsel ve tıbbi) cihazları: Sanayi, bilim ve tıp alanlarında veya enerjinin elektromanyetik yoldan aktarıldığı benzer alanlarda kullanılan ve haberleşme maksadı taşımaksızın radyo frekans enerjisini yerinde üreten ve/veya kullanan cihazları,</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h) SBT frekansları: SBT cihazlarının kullanımı için bu Yönetmelikte belirlenen frekansları,</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ı) TS EN 55011: Radyo frekansları kullanan sınaî, bilimsel ve tıbbi cihazların radyo bozulma özelliklerini, ölçme metotlarını ve sınır değerlerini belirleyen Türk Standartları Enstitüsü standardını,</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i) Üretici: Bir SBT cihazının imalatçısını, imalatçının yurt dışında yerleşik olması halinde Türkiye'de yerleşik yetkili temsilcisini ve/veya bu cihazın ithalatçısını ve faaliyetleri bu cihazın güvenliğe ilişkin özelliklerini etkileyen tedarik zincirindeki diğer kişileri,</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j) Zararlı elektromanyetik girişim: Çalışmaları bakımından, seyrüsefer hizmetlerini veya diğer kamu güvenliği haberleşme hizmetlerini tehlikeye sokan veya bir telsiz haberleşme hizmetinin çalışmasını ciddi ölçüde bozan, engelleyen veya kesinti oluşturan elektromanyetik girişimi</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proofErr w:type="gramStart"/>
      <w:r w:rsidRPr="0059644E">
        <w:rPr>
          <w:rStyle w:val="grame"/>
          <w:rFonts w:ascii="Times New Roman" w:hAnsi="Times New Roman" w:cs="Times New Roman"/>
          <w:sz w:val="20"/>
          <w:szCs w:val="20"/>
        </w:rPr>
        <w:t>ifade</w:t>
      </w:r>
      <w:proofErr w:type="gramEnd"/>
      <w:r w:rsidRPr="0059644E">
        <w:rPr>
          <w:rFonts w:ascii="Times New Roman" w:hAnsi="Times New Roman" w:cs="Times New Roman"/>
          <w:sz w:val="20"/>
          <w:szCs w:val="20"/>
        </w:rPr>
        <w:t xml:space="preserve"> eder. </w:t>
      </w:r>
    </w:p>
    <w:p w:rsidR="0059644E" w:rsidRPr="0059644E" w:rsidRDefault="0059644E" w:rsidP="0059644E">
      <w:pPr>
        <w:pStyle w:val="2-ortabaslk"/>
        <w:spacing w:before="0" w:beforeAutospacing="0" w:after="0" w:afterAutospacing="0" w:line="276" w:lineRule="auto"/>
        <w:rPr>
          <w:color w:val="auto"/>
          <w:sz w:val="20"/>
          <w:szCs w:val="20"/>
        </w:rPr>
      </w:pPr>
      <w:r w:rsidRPr="0059644E">
        <w:rPr>
          <w:color w:val="auto"/>
          <w:sz w:val="20"/>
          <w:szCs w:val="20"/>
        </w:rPr>
        <w:t> </w:t>
      </w:r>
    </w:p>
    <w:p w:rsidR="0059644E" w:rsidRPr="0059644E" w:rsidRDefault="0059644E" w:rsidP="0059644E">
      <w:pPr>
        <w:pStyle w:val="2-ortabaslk"/>
        <w:spacing w:before="0" w:beforeAutospacing="0" w:after="0" w:afterAutospacing="0" w:line="276" w:lineRule="auto"/>
        <w:jc w:val="center"/>
        <w:rPr>
          <w:color w:val="auto"/>
          <w:sz w:val="20"/>
          <w:szCs w:val="20"/>
        </w:rPr>
      </w:pPr>
      <w:r w:rsidRPr="0059644E">
        <w:rPr>
          <w:b/>
          <w:bCs/>
          <w:color w:val="auto"/>
          <w:sz w:val="20"/>
          <w:szCs w:val="20"/>
        </w:rPr>
        <w:t>İKİNCİ BÖLÜM</w:t>
      </w:r>
    </w:p>
    <w:p w:rsidR="0059644E" w:rsidRPr="0059644E" w:rsidRDefault="0059644E" w:rsidP="0059644E">
      <w:pPr>
        <w:pStyle w:val="2-ortabaslk"/>
        <w:spacing w:before="0" w:beforeAutospacing="0" w:after="0" w:afterAutospacing="0" w:line="276" w:lineRule="auto"/>
        <w:jc w:val="center"/>
        <w:rPr>
          <w:color w:val="auto"/>
          <w:sz w:val="20"/>
          <w:szCs w:val="20"/>
        </w:rPr>
      </w:pPr>
      <w:r w:rsidRPr="0059644E">
        <w:rPr>
          <w:b/>
          <w:bCs/>
          <w:color w:val="auto"/>
          <w:sz w:val="20"/>
          <w:szCs w:val="20"/>
        </w:rPr>
        <w:t>Kullanıma İlişkin Esaslar</w:t>
      </w:r>
    </w:p>
    <w:p w:rsidR="0059644E" w:rsidRPr="0059644E" w:rsidRDefault="0059644E" w:rsidP="0059644E">
      <w:pPr>
        <w:pStyle w:val="2-ortabaslk"/>
        <w:spacing w:before="0" w:beforeAutospacing="0" w:after="0" w:afterAutospacing="0" w:line="276" w:lineRule="auto"/>
        <w:jc w:val="center"/>
        <w:rPr>
          <w:color w:val="auto"/>
          <w:sz w:val="20"/>
          <w:szCs w:val="20"/>
        </w:rPr>
      </w:pPr>
      <w:r w:rsidRPr="0059644E">
        <w:rPr>
          <w:b/>
          <w:bCs/>
          <w:color w:val="auto"/>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b/>
          <w:sz w:val="20"/>
          <w:szCs w:val="20"/>
        </w:rPr>
        <w:lastRenderedPageBreak/>
        <w:t>Genel esaslar</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b/>
          <w:sz w:val="20"/>
          <w:szCs w:val="20"/>
        </w:rPr>
        <w:t>MADDE 5 –</w:t>
      </w:r>
      <w:r w:rsidRPr="0059644E">
        <w:rPr>
          <w:rFonts w:ascii="Times New Roman" w:hAnsi="Times New Roman" w:cs="Times New Roman"/>
          <w:sz w:val="20"/>
          <w:szCs w:val="20"/>
        </w:rPr>
        <w:t xml:space="preserve"> (1) Bu Yönetmelik kapsamında yer alan SBT cihazları aşağıdaki esaslara göre kullanılır:</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a) Bu Yönetmelikte belirtilen şartları karşılamak ve Kurumca belirlenen teknik düzenlemelere uygun olmak kaydıyla telsiz ruhsatnamesi, telsiz kurma ve kullanma izni ile frekans tahsis ve tesciline gerek olmaksızın kurularak kullanılabilirler.</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xml:space="preserve">b) Bu Yönetmelikte belirlenen SBT frekansları dışındaki frekanslarda ve özellikle </w:t>
      </w:r>
      <w:proofErr w:type="spellStart"/>
      <w:r w:rsidRPr="0059644E">
        <w:rPr>
          <w:rStyle w:val="spelle"/>
          <w:rFonts w:ascii="Times New Roman" w:hAnsi="Times New Roman" w:cs="Times New Roman"/>
          <w:sz w:val="20"/>
          <w:szCs w:val="20"/>
        </w:rPr>
        <w:t>harmoniklerde</w:t>
      </w:r>
      <w:proofErr w:type="spellEnd"/>
      <w:r w:rsidRPr="0059644E">
        <w:rPr>
          <w:rFonts w:ascii="Times New Roman" w:hAnsi="Times New Roman" w:cs="Times New Roman"/>
          <w:sz w:val="20"/>
          <w:szCs w:val="20"/>
        </w:rPr>
        <w:t xml:space="preserve"> çalışan telsiz cihaz ve sistemleri üzerinde herhangi bir zararlı elektromanyetik girişime neden olmadan koruma önlemleri ile donanımlı olarak ve anılan sistemlerin kullanımından kaynaklanan elektromanyetik girişimi kabul ederek kullanılmak zorundadırlar.</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c) Bu Yönetmelikte belirtilen esaslar dışında kullanılmak istenmesi durumunda, üreticinin Kurumdan kurma ve kullanma izni alması gerekmektedir.</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xml:space="preserve">(2) Bu Yönetmelikte anılan tüm cihazlar; TS EN 55011 standardı ve ilgili diğer düzenlemelerde yer alan teknik </w:t>
      </w:r>
      <w:proofErr w:type="gramStart"/>
      <w:r w:rsidRPr="0059644E">
        <w:rPr>
          <w:rStyle w:val="grame"/>
          <w:rFonts w:ascii="Times New Roman" w:hAnsi="Times New Roman" w:cs="Times New Roman"/>
          <w:sz w:val="20"/>
          <w:szCs w:val="20"/>
        </w:rPr>
        <w:t>kriterler</w:t>
      </w:r>
      <w:proofErr w:type="gramEnd"/>
      <w:r w:rsidRPr="0059644E">
        <w:rPr>
          <w:rFonts w:ascii="Times New Roman" w:hAnsi="Times New Roman" w:cs="Times New Roman"/>
          <w:sz w:val="20"/>
          <w:szCs w:val="20"/>
        </w:rPr>
        <w:t xml:space="preserve"> ile güvenlik kriterlerine uygun olmalıdır. Teknik özelliklerin ölçülmesinde TS EN 55011'de belirlenen ölçme metotları kullanılır.</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proofErr w:type="gramStart"/>
      <w:r w:rsidRPr="0059644E">
        <w:rPr>
          <w:rStyle w:val="grame"/>
          <w:rFonts w:ascii="Times New Roman" w:hAnsi="Times New Roman" w:cs="Times New Roman"/>
          <w:sz w:val="20"/>
          <w:szCs w:val="20"/>
        </w:rPr>
        <w:t xml:space="preserve">(3) Kurum, bu Yönetmelik kapsamındaki tüm cihazlardan yayılan </w:t>
      </w:r>
      <w:proofErr w:type="spellStart"/>
      <w:r w:rsidRPr="0059644E">
        <w:rPr>
          <w:rStyle w:val="spelle"/>
          <w:rFonts w:ascii="Times New Roman" w:hAnsi="Times New Roman" w:cs="Times New Roman"/>
          <w:sz w:val="20"/>
          <w:szCs w:val="20"/>
        </w:rPr>
        <w:t>band</w:t>
      </w:r>
      <w:proofErr w:type="spellEnd"/>
      <w:r w:rsidRPr="0059644E">
        <w:rPr>
          <w:rStyle w:val="grame"/>
          <w:rFonts w:ascii="Times New Roman" w:hAnsi="Times New Roman" w:cs="Times New Roman"/>
          <w:sz w:val="20"/>
          <w:szCs w:val="20"/>
        </w:rPr>
        <w:t xml:space="preserve"> dışı elektromanyetik ışımanın, telsiz cihaz ve sistemleri ve özellikle radar, hava-yer haberleşmesi, kara/deniz/hava seyrüsefer veya başka herhangi bir güvenlik hizmeti üzerinde herhangi bir zararlı elektromanyetik girişime neden olmaması için, TS EN 55011 standardı ve ilgili diğer düzenlemelerde yer alan limitlerden düşük olmasını sağlamak üzere her türlü önlemi aldırma yetkisine sahiptir.</w:t>
      </w:r>
      <w:proofErr w:type="gramEnd"/>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xml:space="preserve">(4) SBT cihazlarını kullananlar, bu cihazların kullanımından oluşan elektromanyetik alan etkilerinden kişilerin ve çevrenin korunmasına yönelik olarak </w:t>
      </w:r>
      <w:proofErr w:type="gramStart"/>
      <w:r w:rsidRPr="0059644E">
        <w:rPr>
          <w:rStyle w:val="grame"/>
          <w:rFonts w:ascii="Times New Roman" w:hAnsi="Times New Roman" w:cs="Times New Roman"/>
          <w:sz w:val="20"/>
          <w:szCs w:val="20"/>
        </w:rPr>
        <w:t>24/7/2010</w:t>
      </w:r>
      <w:proofErr w:type="gramEnd"/>
      <w:r w:rsidRPr="0059644E">
        <w:rPr>
          <w:rFonts w:ascii="Times New Roman" w:hAnsi="Times New Roman" w:cs="Times New Roman"/>
          <w:sz w:val="20"/>
          <w:szCs w:val="20"/>
        </w:rPr>
        <w:t xml:space="preserve"> tarihli ve 27651 sayılı Resmî Gazete’de yayımlanan İyonlaştırıcı Olmayan Radyasyonun Olumsuz Etkilerinden Çevre ve Halkın Sağlığının Korunmasına Yönelik Alınması Gereken Tedbirlere İlişkin Yönetmelik ve ilgili diğer düzenlemeler çerçevesinde gerekli önlemleri almakla sorumludur.</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b/>
          <w:sz w:val="20"/>
          <w:szCs w:val="20"/>
        </w:rPr>
        <w:t>Frekanslar</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b/>
          <w:sz w:val="20"/>
          <w:szCs w:val="20"/>
        </w:rPr>
        <w:t>MADDE 6 –</w:t>
      </w:r>
      <w:r w:rsidRPr="0059644E">
        <w:rPr>
          <w:rFonts w:ascii="Times New Roman" w:hAnsi="Times New Roman" w:cs="Times New Roman"/>
          <w:sz w:val="20"/>
          <w:szCs w:val="20"/>
        </w:rPr>
        <w:t xml:space="preserve"> (1) SBT cihazları, Tablo-1'deki frekanslar dâhilinde kalmak kaydıyla kullanılabilir.</w:t>
      </w:r>
    </w:p>
    <w:p w:rsidR="0059644E" w:rsidRPr="0059644E" w:rsidRDefault="0059644E" w:rsidP="0059644E">
      <w:pPr>
        <w:pStyle w:val="3-normalyaz"/>
        <w:spacing w:before="0" w:beforeAutospacing="0" w:after="0" w:afterAutospacing="0" w:line="276" w:lineRule="auto"/>
        <w:ind w:firstLine="566"/>
        <w:rPr>
          <w:color w:val="auto"/>
          <w:sz w:val="20"/>
          <w:szCs w:val="20"/>
        </w:rPr>
      </w:pPr>
      <w:r w:rsidRPr="0059644E">
        <w:rPr>
          <w:color w:val="auto"/>
          <w:sz w:val="20"/>
          <w:szCs w:val="20"/>
        </w:rPr>
        <w:t> </w:t>
      </w:r>
    </w:p>
    <w:p w:rsidR="0059644E" w:rsidRPr="0059644E" w:rsidRDefault="0059644E" w:rsidP="0059644E">
      <w:pPr>
        <w:pStyle w:val="3-normalyaz"/>
        <w:spacing w:before="0" w:beforeAutospacing="0" w:after="0" w:afterAutospacing="0" w:line="276" w:lineRule="auto"/>
        <w:jc w:val="center"/>
        <w:rPr>
          <w:color w:val="auto"/>
          <w:sz w:val="20"/>
          <w:szCs w:val="20"/>
        </w:rPr>
      </w:pPr>
      <w:r w:rsidRPr="0059644E">
        <w:rPr>
          <w:noProof/>
          <w:color w:val="auto"/>
          <w:sz w:val="20"/>
          <w:szCs w:val="20"/>
        </w:rPr>
        <w:lastRenderedPageBreak/>
        <w:drawing>
          <wp:inline distT="0" distB="0" distL="0" distR="0">
            <wp:extent cx="4427220" cy="1782445"/>
            <wp:effectExtent l="19050" t="0" r="0" b="0"/>
            <wp:docPr id="1" name="Resim 1" descr="http://www.alomaliye.com/2011/sinai_bilims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omaliye.com/2011/sinai_bilimsel.gif"/>
                    <pic:cNvPicPr>
                      <a:picLocks noChangeAspect="1" noChangeArrowheads="1"/>
                    </pic:cNvPicPr>
                  </pic:nvPicPr>
                  <pic:blipFill>
                    <a:blip r:embed="rId6" cstate="print"/>
                    <a:srcRect/>
                    <a:stretch>
                      <a:fillRect/>
                    </a:stretch>
                  </pic:blipFill>
                  <pic:spPr bwMode="auto">
                    <a:xfrm>
                      <a:off x="0" y="0"/>
                      <a:ext cx="4427220" cy="1782445"/>
                    </a:xfrm>
                    <a:prstGeom prst="rect">
                      <a:avLst/>
                    </a:prstGeom>
                    <a:noFill/>
                    <a:ln w="9525">
                      <a:noFill/>
                      <a:miter lim="800000"/>
                      <a:headEnd/>
                      <a:tailEnd/>
                    </a:ln>
                  </pic:spPr>
                </pic:pic>
              </a:graphicData>
            </a:graphic>
          </wp:inline>
        </w:drawing>
      </w:r>
    </w:p>
    <w:p w:rsidR="0059644E" w:rsidRPr="0059644E" w:rsidRDefault="0059644E" w:rsidP="0059644E">
      <w:pPr>
        <w:pStyle w:val="2-ortabaslk"/>
        <w:spacing w:before="0" w:beforeAutospacing="0" w:after="0" w:afterAutospacing="0" w:line="276" w:lineRule="auto"/>
        <w:rPr>
          <w:color w:val="auto"/>
          <w:sz w:val="20"/>
          <w:szCs w:val="20"/>
        </w:rPr>
      </w:pPr>
      <w:r w:rsidRPr="0059644E">
        <w:rPr>
          <w:color w:val="auto"/>
          <w:sz w:val="20"/>
          <w:szCs w:val="20"/>
        </w:rPr>
        <w:t> </w:t>
      </w:r>
    </w:p>
    <w:p w:rsidR="0059644E" w:rsidRPr="0059644E" w:rsidRDefault="0059644E" w:rsidP="0059644E">
      <w:pPr>
        <w:pStyle w:val="2-ortabaslk"/>
        <w:spacing w:before="0" w:beforeAutospacing="0" w:after="0" w:afterAutospacing="0" w:line="276" w:lineRule="auto"/>
        <w:jc w:val="center"/>
        <w:rPr>
          <w:color w:val="auto"/>
          <w:sz w:val="20"/>
          <w:szCs w:val="20"/>
        </w:rPr>
      </w:pPr>
      <w:r w:rsidRPr="0059644E">
        <w:rPr>
          <w:b/>
          <w:bCs/>
          <w:color w:val="auto"/>
          <w:sz w:val="20"/>
          <w:szCs w:val="20"/>
        </w:rPr>
        <w:t>ÜÇÜNCÜ BÖLÜM</w:t>
      </w:r>
    </w:p>
    <w:p w:rsidR="0059644E" w:rsidRPr="0059644E" w:rsidRDefault="0059644E" w:rsidP="0059644E">
      <w:pPr>
        <w:pStyle w:val="2-ortabaslk"/>
        <w:spacing w:before="0" w:beforeAutospacing="0" w:after="0" w:afterAutospacing="0" w:line="276" w:lineRule="auto"/>
        <w:jc w:val="center"/>
        <w:rPr>
          <w:color w:val="auto"/>
          <w:sz w:val="20"/>
          <w:szCs w:val="20"/>
        </w:rPr>
      </w:pPr>
      <w:r w:rsidRPr="0059644E">
        <w:rPr>
          <w:b/>
          <w:bCs/>
          <w:color w:val="auto"/>
          <w:sz w:val="20"/>
          <w:szCs w:val="20"/>
        </w:rPr>
        <w:t>Çeşitli ve Son Hükümler</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b/>
          <w:sz w:val="20"/>
          <w:szCs w:val="20"/>
        </w:rPr>
        <w:t>Yaptırımlar</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b/>
          <w:sz w:val="20"/>
          <w:szCs w:val="20"/>
        </w:rPr>
        <w:t>MADDE 7 –</w:t>
      </w:r>
      <w:r w:rsidRPr="0059644E">
        <w:rPr>
          <w:rFonts w:ascii="Times New Roman" w:hAnsi="Times New Roman" w:cs="Times New Roman"/>
          <w:sz w:val="20"/>
          <w:szCs w:val="20"/>
        </w:rPr>
        <w:t xml:space="preserve"> (1) Kurum, bu Yönetmelikte anılan tüm cihazların zararlı elektromanyetik girişime neden olması durumunda, söz konusu cihazların bu Yönetmelikte belirtilen kullanım esaslarına ve frekans </w:t>
      </w:r>
      <w:proofErr w:type="spellStart"/>
      <w:r w:rsidRPr="0059644E">
        <w:rPr>
          <w:rStyle w:val="spelle"/>
          <w:rFonts w:ascii="Times New Roman" w:hAnsi="Times New Roman" w:cs="Times New Roman"/>
          <w:sz w:val="20"/>
          <w:szCs w:val="20"/>
        </w:rPr>
        <w:t>bandlarına</w:t>
      </w:r>
      <w:proofErr w:type="spellEnd"/>
      <w:r w:rsidRPr="0059644E">
        <w:rPr>
          <w:rFonts w:ascii="Times New Roman" w:hAnsi="Times New Roman" w:cs="Times New Roman"/>
          <w:sz w:val="20"/>
          <w:szCs w:val="20"/>
        </w:rPr>
        <w:t xml:space="preserve"> uygunluğunu denetlemeye yetkilidir.</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(2) Bu Yönetmelikte anılan tüm cihazların kullanıma ilişkin esasların ihlal edilerek zararlı elektromanyetik girişime sebep olduğunun tespiti halinde, söz konusu cihazların faaliyetleri derhal durdurulur ve sebep olduğu zararlı elektromanyetik girişim giderilinceye kadar faaliyetine izin verilmez. Faaliyeti durdurulan cihazın sebep olduğu elektromanyetik girişim giderilmeden izinsiz olarak faaliyete geçirildiğinin tespiti halinde ilgililer hakkında gerekli yasal işlemler başlatılır.</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b/>
          <w:sz w:val="20"/>
          <w:szCs w:val="20"/>
        </w:rPr>
        <w:t>Atıflar</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b/>
          <w:sz w:val="20"/>
          <w:szCs w:val="20"/>
        </w:rPr>
        <w:t xml:space="preserve">MADDE 8 – </w:t>
      </w:r>
      <w:r w:rsidRPr="0059644E">
        <w:rPr>
          <w:rFonts w:ascii="Times New Roman" w:hAnsi="Times New Roman" w:cs="Times New Roman"/>
          <w:sz w:val="20"/>
          <w:szCs w:val="20"/>
        </w:rPr>
        <w:t>(1)</w:t>
      </w:r>
      <w:r w:rsidRPr="0059644E">
        <w:rPr>
          <w:rFonts w:ascii="Times New Roman" w:hAnsi="Times New Roman" w:cs="Times New Roman"/>
          <w:b/>
          <w:sz w:val="20"/>
          <w:szCs w:val="20"/>
        </w:rPr>
        <w:t xml:space="preserve"> </w:t>
      </w:r>
      <w:r w:rsidRPr="0059644E">
        <w:rPr>
          <w:rFonts w:ascii="Times New Roman" w:hAnsi="Times New Roman" w:cs="Times New Roman"/>
          <w:sz w:val="20"/>
          <w:szCs w:val="20"/>
        </w:rPr>
        <w:t xml:space="preserve">Diğer mevzuatta </w:t>
      </w:r>
      <w:proofErr w:type="gramStart"/>
      <w:r w:rsidRPr="0059644E">
        <w:rPr>
          <w:rStyle w:val="grame"/>
          <w:rFonts w:ascii="Times New Roman" w:hAnsi="Times New Roman" w:cs="Times New Roman"/>
          <w:sz w:val="20"/>
          <w:szCs w:val="20"/>
        </w:rPr>
        <w:t>18/2/1985</w:t>
      </w:r>
      <w:proofErr w:type="gramEnd"/>
      <w:r w:rsidRPr="0059644E">
        <w:rPr>
          <w:rFonts w:ascii="Times New Roman" w:hAnsi="Times New Roman" w:cs="Times New Roman"/>
          <w:sz w:val="20"/>
          <w:szCs w:val="20"/>
        </w:rPr>
        <w:t xml:space="preserve"> tarihli ve 85/9157 sayılı Bakanlar Kurulu Kararı ile yürürlüğe konulan Sınai, Bilimsel ve Tıbbi Elektronik Cihazların İmali ve Kullanılması Hakkında Yönetmeliğe yapılan atıflar bu Yönetmeliğe yapılmış sayılır.</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b/>
          <w:sz w:val="20"/>
          <w:szCs w:val="20"/>
        </w:rPr>
        <w:t>Uygulama</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b/>
          <w:sz w:val="20"/>
          <w:szCs w:val="20"/>
        </w:rPr>
        <w:t xml:space="preserve">GEÇİCİ MADDE 1 – </w:t>
      </w:r>
      <w:r w:rsidRPr="0059644E">
        <w:rPr>
          <w:rFonts w:ascii="Times New Roman" w:hAnsi="Times New Roman" w:cs="Times New Roman"/>
          <w:sz w:val="20"/>
          <w:szCs w:val="20"/>
        </w:rPr>
        <w:t xml:space="preserve">(1) Bu Yönetmelik kapsamına giren SBT cihazlarının, bu Yönetmeliğin yayım tarihinden itibaren 6 (altı) ay içerisinde frekans </w:t>
      </w:r>
      <w:proofErr w:type="spellStart"/>
      <w:r w:rsidRPr="0059644E">
        <w:rPr>
          <w:rStyle w:val="spelle"/>
          <w:rFonts w:ascii="Times New Roman" w:hAnsi="Times New Roman" w:cs="Times New Roman"/>
          <w:sz w:val="20"/>
          <w:szCs w:val="20"/>
        </w:rPr>
        <w:t>bandları</w:t>
      </w:r>
      <w:proofErr w:type="spellEnd"/>
      <w:r w:rsidRPr="0059644E">
        <w:rPr>
          <w:rFonts w:ascii="Times New Roman" w:hAnsi="Times New Roman" w:cs="Times New Roman"/>
          <w:sz w:val="20"/>
          <w:szCs w:val="20"/>
        </w:rPr>
        <w:t xml:space="preserve"> ve diğer kısıtlamalar dikkate alınarak bu Yönetmelikte belirtilen hususlara uygun hale getirilmesi mecburidir.</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b/>
          <w:sz w:val="20"/>
          <w:szCs w:val="20"/>
        </w:rPr>
        <w:t>Yürürlük</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b/>
          <w:sz w:val="20"/>
          <w:szCs w:val="20"/>
        </w:rPr>
        <w:lastRenderedPageBreak/>
        <w:t>MADDE 9 –</w:t>
      </w:r>
      <w:r w:rsidRPr="0059644E">
        <w:rPr>
          <w:rFonts w:ascii="Times New Roman" w:hAnsi="Times New Roman" w:cs="Times New Roman"/>
          <w:sz w:val="20"/>
          <w:szCs w:val="20"/>
        </w:rPr>
        <w:t xml:space="preserve"> (1) Bu Yönetmelik yayımı tarihinde yürürlüğe girer.</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b/>
          <w:sz w:val="20"/>
          <w:szCs w:val="20"/>
        </w:rPr>
        <w:t>Yürütme</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sz w:val="20"/>
          <w:szCs w:val="20"/>
        </w:rPr>
        <w:t> </w:t>
      </w:r>
    </w:p>
    <w:p w:rsidR="0059644E" w:rsidRPr="0059644E" w:rsidRDefault="0059644E" w:rsidP="0059644E">
      <w:pPr>
        <w:jc w:val="both"/>
        <w:rPr>
          <w:rFonts w:ascii="Times New Roman" w:hAnsi="Times New Roman" w:cs="Times New Roman"/>
          <w:sz w:val="20"/>
          <w:szCs w:val="20"/>
        </w:rPr>
      </w:pPr>
      <w:r w:rsidRPr="0059644E">
        <w:rPr>
          <w:rFonts w:ascii="Times New Roman" w:hAnsi="Times New Roman" w:cs="Times New Roman"/>
          <w:b/>
          <w:sz w:val="20"/>
          <w:szCs w:val="20"/>
        </w:rPr>
        <w:t>MADDE 10 –</w:t>
      </w:r>
      <w:r w:rsidRPr="0059644E">
        <w:rPr>
          <w:rFonts w:ascii="Times New Roman" w:hAnsi="Times New Roman" w:cs="Times New Roman"/>
          <w:sz w:val="20"/>
          <w:szCs w:val="20"/>
        </w:rPr>
        <w:t xml:space="preserve"> (1) Bu Yönetmelik hükümlerini Kurul Başkanı yürütür.</w:t>
      </w:r>
    </w:p>
    <w:p w:rsidR="0059644E" w:rsidRPr="0059644E" w:rsidRDefault="0059644E" w:rsidP="00BD3362">
      <w:pPr>
        <w:rPr>
          <w:rStyle w:val="spelle"/>
          <w:rFonts w:ascii="Times New Roman" w:hAnsi="Times New Roman" w:cs="Times New Roman"/>
          <w:b/>
          <w:sz w:val="20"/>
          <w:szCs w:val="20"/>
          <w:lang w:val="en-GB"/>
        </w:rPr>
      </w:pPr>
    </w:p>
    <w:sectPr w:rsidR="0059644E" w:rsidRPr="0059644E"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9A9" w:rsidRDefault="005B79A9" w:rsidP="003A1052">
      <w:pPr>
        <w:spacing w:after="0" w:line="240" w:lineRule="auto"/>
      </w:pPr>
      <w:r>
        <w:separator/>
      </w:r>
    </w:p>
  </w:endnote>
  <w:endnote w:type="continuationSeparator" w:id="0">
    <w:p w:rsidR="005B79A9" w:rsidRDefault="005B79A9"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9A9" w:rsidRDefault="005B79A9" w:rsidP="003A1052">
      <w:pPr>
        <w:spacing w:after="0" w:line="240" w:lineRule="auto"/>
      </w:pPr>
      <w:r>
        <w:separator/>
      </w:r>
    </w:p>
  </w:footnote>
  <w:footnote w:type="continuationSeparator" w:id="0">
    <w:p w:rsidR="005B79A9" w:rsidRDefault="005B79A9"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25EB"/>
    <w:rsid w:val="000801AE"/>
    <w:rsid w:val="00080788"/>
    <w:rsid w:val="00092337"/>
    <w:rsid w:val="00093F73"/>
    <w:rsid w:val="000951FD"/>
    <w:rsid w:val="00096132"/>
    <w:rsid w:val="000A1679"/>
    <w:rsid w:val="000B60F4"/>
    <w:rsid w:val="000C4758"/>
    <w:rsid w:val="000C6663"/>
    <w:rsid w:val="000C6EDD"/>
    <w:rsid w:val="000C7F06"/>
    <w:rsid w:val="000D2DDD"/>
    <w:rsid w:val="0010278A"/>
    <w:rsid w:val="00102AEA"/>
    <w:rsid w:val="00104625"/>
    <w:rsid w:val="00116889"/>
    <w:rsid w:val="00124838"/>
    <w:rsid w:val="00127623"/>
    <w:rsid w:val="001378EB"/>
    <w:rsid w:val="00144D10"/>
    <w:rsid w:val="0015272E"/>
    <w:rsid w:val="00160136"/>
    <w:rsid w:val="00164251"/>
    <w:rsid w:val="00175B14"/>
    <w:rsid w:val="00183A59"/>
    <w:rsid w:val="00184128"/>
    <w:rsid w:val="00185A3C"/>
    <w:rsid w:val="00191580"/>
    <w:rsid w:val="00191DFE"/>
    <w:rsid w:val="0019666D"/>
    <w:rsid w:val="00196E8A"/>
    <w:rsid w:val="001B4016"/>
    <w:rsid w:val="001B7BAB"/>
    <w:rsid w:val="001C25E5"/>
    <w:rsid w:val="001D66E0"/>
    <w:rsid w:val="001D6B85"/>
    <w:rsid w:val="001D6F5E"/>
    <w:rsid w:val="001E4506"/>
    <w:rsid w:val="001F1EDF"/>
    <w:rsid w:val="002078F2"/>
    <w:rsid w:val="00210C2B"/>
    <w:rsid w:val="002141CF"/>
    <w:rsid w:val="00221B09"/>
    <w:rsid w:val="0022477E"/>
    <w:rsid w:val="0022730D"/>
    <w:rsid w:val="00242BB3"/>
    <w:rsid w:val="0026000D"/>
    <w:rsid w:val="00262291"/>
    <w:rsid w:val="002622FC"/>
    <w:rsid w:val="002631CA"/>
    <w:rsid w:val="00273CA8"/>
    <w:rsid w:val="002805AD"/>
    <w:rsid w:val="002977C1"/>
    <w:rsid w:val="002A1EEE"/>
    <w:rsid w:val="002B13F3"/>
    <w:rsid w:val="002C52C2"/>
    <w:rsid w:val="002D4761"/>
    <w:rsid w:val="002D4B37"/>
    <w:rsid w:val="002D679F"/>
    <w:rsid w:val="002E3342"/>
    <w:rsid w:val="002F5DD8"/>
    <w:rsid w:val="003076AD"/>
    <w:rsid w:val="003077B7"/>
    <w:rsid w:val="00316B9E"/>
    <w:rsid w:val="00343EC7"/>
    <w:rsid w:val="003817A3"/>
    <w:rsid w:val="00387118"/>
    <w:rsid w:val="003A1052"/>
    <w:rsid w:val="003A43C1"/>
    <w:rsid w:val="003C18D8"/>
    <w:rsid w:val="003D4AE3"/>
    <w:rsid w:val="003D5023"/>
    <w:rsid w:val="003D5D8E"/>
    <w:rsid w:val="003E0AAF"/>
    <w:rsid w:val="003E4A0E"/>
    <w:rsid w:val="003E4E4D"/>
    <w:rsid w:val="003E7E22"/>
    <w:rsid w:val="003F74F6"/>
    <w:rsid w:val="004114C2"/>
    <w:rsid w:val="0041435E"/>
    <w:rsid w:val="00417B93"/>
    <w:rsid w:val="004258BF"/>
    <w:rsid w:val="00425FF3"/>
    <w:rsid w:val="00432E11"/>
    <w:rsid w:val="004349E9"/>
    <w:rsid w:val="0043568D"/>
    <w:rsid w:val="00440367"/>
    <w:rsid w:val="00443724"/>
    <w:rsid w:val="00474EFC"/>
    <w:rsid w:val="00482025"/>
    <w:rsid w:val="00487223"/>
    <w:rsid w:val="00487ADF"/>
    <w:rsid w:val="0049211B"/>
    <w:rsid w:val="004B1FB5"/>
    <w:rsid w:val="004B4365"/>
    <w:rsid w:val="004E33F1"/>
    <w:rsid w:val="004F0094"/>
    <w:rsid w:val="004F1D04"/>
    <w:rsid w:val="00500C7E"/>
    <w:rsid w:val="005215F9"/>
    <w:rsid w:val="00531462"/>
    <w:rsid w:val="00531828"/>
    <w:rsid w:val="0053249B"/>
    <w:rsid w:val="0053328B"/>
    <w:rsid w:val="00544B7D"/>
    <w:rsid w:val="005468FD"/>
    <w:rsid w:val="0055094A"/>
    <w:rsid w:val="00551357"/>
    <w:rsid w:val="00554F4F"/>
    <w:rsid w:val="0056577D"/>
    <w:rsid w:val="0057318F"/>
    <w:rsid w:val="0059644E"/>
    <w:rsid w:val="00597082"/>
    <w:rsid w:val="005A2783"/>
    <w:rsid w:val="005A5606"/>
    <w:rsid w:val="005A6ABE"/>
    <w:rsid w:val="005B79A9"/>
    <w:rsid w:val="005C3E39"/>
    <w:rsid w:val="005D3CD6"/>
    <w:rsid w:val="005E0983"/>
    <w:rsid w:val="005E5275"/>
    <w:rsid w:val="005E68DA"/>
    <w:rsid w:val="00605BA2"/>
    <w:rsid w:val="006062A0"/>
    <w:rsid w:val="006077AA"/>
    <w:rsid w:val="00623CBF"/>
    <w:rsid w:val="00627628"/>
    <w:rsid w:val="00627BD5"/>
    <w:rsid w:val="00642DC9"/>
    <w:rsid w:val="006437D1"/>
    <w:rsid w:val="0064395E"/>
    <w:rsid w:val="006445C3"/>
    <w:rsid w:val="006864B7"/>
    <w:rsid w:val="0068655A"/>
    <w:rsid w:val="00687BCB"/>
    <w:rsid w:val="006938DD"/>
    <w:rsid w:val="0069748A"/>
    <w:rsid w:val="006B16F2"/>
    <w:rsid w:val="006B1E2F"/>
    <w:rsid w:val="006B2D9E"/>
    <w:rsid w:val="006B3478"/>
    <w:rsid w:val="006C2D9D"/>
    <w:rsid w:val="006C6633"/>
    <w:rsid w:val="006D754C"/>
    <w:rsid w:val="006E5E29"/>
    <w:rsid w:val="00702EA8"/>
    <w:rsid w:val="00741B89"/>
    <w:rsid w:val="00747E83"/>
    <w:rsid w:val="0076197D"/>
    <w:rsid w:val="00762BA5"/>
    <w:rsid w:val="00762C8F"/>
    <w:rsid w:val="00764A2F"/>
    <w:rsid w:val="00765605"/>
    <w:rsid w:val="0077547F"/>
    <w:rsid w:val="00780B1E"/>
    <w:rsid w:val="0078184F"/>
    <w:rsid w:val="00794576"/>
    <w:rsid w:val="00796882"/>
    <w:rsid w:val="0079795E"/>
    <w:rsid w:val="007A233C"/>
    <w:rsid w:val="007A5B45"/>
    <w:rsid w:val="007A614F"/>
    <w:rsid w:val="007B6BC2"/>
    <w:rsid w:val="007C49D4"/>
    <w:rsid w:val="007D06DF"/>
    <w:rsid w:val="007D49F3"/>
    <w:rsid w:val="007F0B4B"/>
    <w:rsid w:val="0080215F"/>
    <w:rsid w:val="00804D2B"/>
    <w:rsid w:val="00822AEB"/>
    <w:rsid w:val="00824BA1"/>
    <w:rsid w:val="00825713"/>
    <w:rsid w:val="00832901"/>
    <w:rsid w:val="00833E05"/>
    <w:rsid w:val="00840B08"/>
    <w:rsid w:val="00841E88"/>
    <w:rsid w:val="00853C7D"/>
    <w:rsid w:val="00854231"/>
    <w:rsid w:val="00860109"/>
    <w:rsid w:val="00863FCD"/>
    <w:rsid w:val="008651DA"/>
    <w:rsid w:val="00866BE1"/>
    <w:rsid w:val="00871C61"/>
    <w:rsid w:val="00883766"/>
    <w:rsid w:val="00885739"/>
    <w:rsid w:val="00895061"/>
    <w:rsid w:val="008961C8"/>
    <w:rsid w:val="008A7AE1"/>
    <w:rsid w:val="008B30CF"/>
    <w:rsid w:val="008C2BB5"/>
    <w:rsid w:val="008C3907"/>
    <w:rsid w:val="008C5952"/>
    <w:rsid w:val="008E1E88"/>
    <w:rsid w:val="008E2061"/>
    <w:rsid w:val="008E4DA0"/>
    <w:rsid w:val="008E6DEE"/>
    <w:rsid w:val="008F5931"/>
    <w:rsid w:val="00901E61"/>
    <w:rsid w:val="0090669C"/>
    <w:rsid w:val="00917B47"/>
    <w:rsid w:val="00917E40"/>
    <w:rsid w:val="00920EFE"/>
    <w:rsid w:val="00923977"/>
    <w:rsid w:val="009445C8"/>
    <w:rsid w:val="00955317"/>
    <w:rsid w:val="00964BD2"/>
    <w:rsid w:val="00981BEE"/>
    <w:rsid w:val="00985E37"/>
    <w:rsid w:val="009A46F6"/>
    <w:rsid w:val="009B3906"/>
    <w:rsid w:val="009C0635"/>
    <w:rsid w:val="009D2E87"/>
    <w:rsid w:val="009E28FE"/>
    <w:rsid w:val="009F6B64"/>
    <w:rsid w:val="00A042C8"/>
    <w:rsid w:val="00A04700"/>
    <w:rsid w:val="00A2154C"/>
    <w:rsid w:val="00A2531A"/>
    <w:rsid w:val="00A256DC"/>
    <w:rsid w:val="00A50F85"/>
    <w:rsid w:val="00A810FB"/>
    <w:rsid w:val="00A879B5"/>
    <w:rsid w:val="00AC42AB"/>
    <w:rsid w:val="00AC4B67"/>
    <w:rsid w:val="00AF5538"/>
    <w:rsid w:val="00AF5CA9"/>
    <w:rsid w:val="00B00A87"/>
    <w:rsid w:val="00B04B00"/>
    <w:rsid w:val="00B301C2"/>
    <w:rsid w:val="00B36B6D"/>
    <w:rsid w:val="00B4320D"/>
    <w:rsid w:val="00B437BB"/>
    <w:rsid w:val="00B648B6"/>
    <w:rsid w:val="00B716D7"/>
    <w:rsid w:val="00B7286A"/>
    <w:rsid w:val="00B76E62"/>
    <w:rsid w:val="00B83D4A"/>
    <w:rsid w:val="00B83F16"/>
    <w:rsid w:val="00B84A53"/>
    <w:rsid w:val="00B85E7E"/>
    <w:rsid w:val="00BA3092"/>
    <w:rsid w:val="00BA4F93"/>
    <w:rsid w:val="00BB42AF"/>
    <w:rsid w:val="00BC5A40"/>
    <w:rsid w:val="00BD3362"/>
    <w:rsid w:val="00BE17BD"/>
    <w:rsid w:val="00BE395A"/>
    <w:rsid w:val="00C01829"/>
    <w:rsid w:val="00C04DA6"/>
    <w:rsid w:val="00C06C21"/>
    <w:rsid w:val="00C179A9"/>
    <w:rsid w:val="00C2193F"/>
    <w:rsid w:val="00C25FDE"/>
    <w:rsid w:val="00C54042"/>
    <w:rsid w:val="00C54580"/>
    <w:rsid w:val="00C62998"/>
    <w:rsid w:val="00C67928"/>
    <w:rsid w:val="00C7095B"/>
    <w:rsid w:val="00C71342"/>
    <w:rsid w:val="00CA1B6D"/>
    <w:rsid w:val="00CA3F12"/>
    <w:rsid w:val="00CB3FDE"/>
    <w:rsid w:val="00CC4493"/>
    <w:rsid w:val="00CE4354"/>
    <w:rsid w:val="00CE5D2E"/>
    <w:rsid w:val="00CF42F0"/>
    <w:rsid w:val="00D021B0"/>
    <w:rsid w:val="00D14499"/>
    <w:rsid w:val="00D241B1"/>
    <w:rsid w:val="00D30B8A"/>
    <w:rsid w:val="00D31EC8"/>
    <w:rsid w:val="00D46F62"/>
    <w:rsid w:val="00D52BE4"/>
    <w:rsid w:val="00D57246"/>
    <w:rsid w:val="00D62413"/>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3CE4"/>
    <w:rsid w:val="00E05A61"/>
    <w:rsid w:val="00E11270"/>
    <w:rsid w:val="00E24DC4"/>
    <w:rsid w:val="00E2596F"/>
    <w:rsid w:val="00E27917"/>
    <w:rsid w:val="00E27E35"/>
    <w:rsid w:val="00E54AB3"/>
    <w:rsid w:val="00E604D2"/>
    <w:rsid w:val="00E60806"/>
    <w:rsid w:val="00E8213C"/>
    <w:rsid w:val="00E962DD"/>
    <w:rsid w:val="00EA397E"/>
    <w:rsid w:val="00EA5DF5"/>
    <w:rsid w:val="00EB2764"/>
    <w:rsid w:val="00EB3217"/>
    <w:rsid w:val="00EB5B90"/>
    <w:rsid w:val="00EB77CA"/>
    <w:rsid w:val="00EC1253"/>
    <w:rsid w:val="00EC7DA1"/>
    <w:rsid w:val="00ED10CC"/>
    <w:rsid w:val="00ED29F6"/>
    <w:rsid w:val="00ED45B3"/>
    <w:rsid w:val="00ED7048"/>
    <w:rsid w:val="00EE382A"/>
    <w:rsid w:val="00EE5F33"/>
    <w:rsid w:val="00F04352"/>
    <w:rsid w:val="00F1435A"/>
    <w:rsid w:val="00F171C7"/>
    <w:rsid w:val="00F32154"/>
    <w:rsid w:val="00F55373"/>
    <w:rsid w:val="00F669EC"/>
    <w:rsid w:val="00F71BFD"/>
    <w:rsid w:val="00F83A24"/>
    <w:rsid w:val="00F90D37"/>
    <w:rsid w:val="00F91448"/>
    <w:rsid w:val="00F941DA"/>
    <w:rsid w:val="00F94804"/>
    <w:rsid w:val="00FA01ED"/>
    <w:rsid w:val="00FA56A9"/>
    <w:rsid w:val="00FB74ED"/>
    <w:rsid w:val="00FC18BD"/>
    <w:rsid w:val="00FC32FA"/>
    <w:rsid w:val="00FC351E"/>
    <w:rsid w:val="00FD5B01"/>
    <w:rsid w:val="00FE132B"/>
    <w:rsid w:val="00FE5684"/>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951</Words>
  <Characters>5427</Characters>
  <Application>Microsoft Office Word</Application>
  <DocSecurity>0</DocSecurity>
  <Lines>45</Lines>
  <Paragraphs>12</Paragraphs>
  <ScaleCrop>false</ScaleCrop>
  <Company>TURMOB</Company>
  <LinksUpToDate>false</LinksUpToDate>
  <CharactersWithSpaces>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253</cp:revision>
  <dcterms:created xsi:type="dcterms:W3CDTF">2011-07-01T05:43:00Z</dcterms:created>
  <dcterms:modified xsi:type="dcterms:W3CDTF">2011-10-24T05:46:00Z</dcterms:modified>
</cp:coreProperties>
</file>