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A129DD" w:rsidRDefault="005F27D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30</w:t>
      </w:r>
      <w:r w:rsidR="00B04B00" w:rsidRPr="00A129DD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A129DD">
        <w:rPr>
          <w:b/>
          <w:color w:val="auto"/>
          <w:sz w:val="20"/>
          <w:szCs w:val="20"/>
          <w:u w:val="single"/>
        </w:rPr>
        <w:t xml:space="preserve">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28100</w:t>
      </w:r>
    </w:p>
    <w:p w:rsidR="00A129DD" w:rsidRDefault="00A129D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633BBD" w:rsidRDefault="00633BBD" w:rsidP="00633BB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633BBD" w:rsidRDefault="00633BBD" w:rsidP="00633BBD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DERNEKLER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33BBD" w:rsidRDefault="00633BBD" w:rsidP="00633BBD">
      <w:pPr>
        <w:pStyle w:val="2-OrtaBaslk0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31/3/2005</w:t>
      </w:r>
      <w:proofErr w:type="gramEnd"/>
      <w:r>
        <w:rPr>
          <w:sz w:val="18"/>
          <w:szCs w:val="18"/>
        </w:rPr>
        <w:t xml:space="preserve"> tarihli ve 25772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Dernekler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iki adet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(d)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dernek kurucusu olabilece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izin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ilerin derneklere kurucu olabilmesine dair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izin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belirten dernek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iki adet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(a)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8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iki adet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(b)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(e)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federasyona kurucu olabilece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izin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ilerin federasyonlara kurucu olabilmesine dair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izin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belirten federasyon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  <w:proofErr w:type="gramEnd"/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iki adet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(b)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(e)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konfederasyona kurucu olabilece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izin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ilerin konfederasyonlara kurucu olabilmesine dair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izin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belirten konfederasyon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  <w:proofErr w:type="gramEnd"/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18 ve 19 uncu maddelerinin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Dernek veya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Dernekler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 formu ekinde bulunacak belgeler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ekinde, yetkili organ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karar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varsa bu konuda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protokol,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benzeri belgeler ile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hesaba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gramStart"/>
      <w:r>
        <w:rPr>
          <w:sz w:val="18"/>
          <w:szCs w:val="18"/>
        </w:rPr>
        <w:t>dekont</w:t>
      </w:r>
      <w:proofErr w:type="gramEnd"/>
      <w:r>
        <w:rPr>
          <w:sz w:val="18"/>
          <w:szCs w:val="18"/>
        </w:rPr>
        <w:t xml:space="preserve">, ekstre ve benzeri belgenin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 eklenir.</w:t>
      </w:r>
      <w:r>
        <w:rPr>
          <w:sz w:val="18"/>
          <w:szCs w:val="18"/>
        </w:rPr>
        <w:t>”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21 inci maddesi ile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“Ş</w:t>
      </w:r>
      <w:r>
        <w:rPr>
          <w:sz w:val="18"/>
          <w:szCs w:val="18"/>
        </w:rPr>
        <w:t xml:space="preserve">ubesi </w:t>
      </w:r>
      <w:proofErr w:type="spellStart"/>
      <w:r>
        <w:rPr>
          <w:sz w:val="18"/>
          <w:szCs w:val="18"/>
        </w:rPr>
        <w:t>buluanan</w:t>
      </w:r>
      <w:proofErr w:type="spellEnd"/>
      <w:r>
        <w:rPr>
          <w:sz w:val="18"/>
          <w:szCs w:val="18"/>
        </w:rPr>
        <w:t xml:space="preserve"> derneklerin bil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defter tutmalar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hadlere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bu derneklerin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 de bil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defter tutarlar. Her halde dernekler ile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esasta defter tutmalar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  <w:r>
        <w:rPr>
          <w:sz w:val="18"/>
          <w:szCs w:val="18"/>
        </w:rPr>
        <w:t>”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50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Kamu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derneklerden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isteyen dernekler,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ekler ile birlikte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yaparlar.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Derne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kamu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nden; faaliyeti,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hizmetler ve gelecekte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raporu,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listesi,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Kamu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derneklerden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kurulunun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karar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  <w:r>
        <w:rPr>
          <w:sz w:val="18"/>
          <w:szCs w:val="18"/>
        </w:rPr>
        <w:t>”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Kamu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derneklerden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istekleri, valilik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ile birlikte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  <w:r>
        <w:rPr>
          <w:sz w:val="18"/>
          <w:szCs w:val="18"/>
        </w:rPr>
        <w:t>”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“üç</w:t>
      </w:r>
      <w:r>
        <w:rPr>
          <w:sz w:val="18"/>
          <w:szCs w:val="18"/>
        </w:rPr>
        <w:t>er suret olarak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(a)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“İ</w:t>
      </w:r>
      <w:r>
        <w:rPr>
          <w:sz w:val="18"/>
          <w:szCs w:val="18"/>
        </w:rPr>
        <w:t>lgili valilik, taleple ilgili gerekli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sonra, izin talebini valilik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ile birlikte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  <w:r>
        <w:rPr>
          <w:sz w:val="18"/>
          <w:szCs w:val="18"/>
        </w:rPr>
        <w:t>”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“</w:t>
      </w:r>
      <w:r>
        <w:rPr>
          <w:sz w:val="18"/>
          <w:szCs w:val="18"/>
        </w:rPr>
        <w:t>b) Lokal olarak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yerin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 sahibi veya kirac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una, ana gayrimenkul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mesken,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ticaret yeri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una, belediye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cavir alan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bulunup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dernek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beyan,</w:t>
      </w:r>
      <w:r>
        <w:rPr>
          <w:sz w:val="18"/>
          <w:szCs w:val="18"/>
        </w:rPr>
        <w:t>”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83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 ile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84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92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93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96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96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lki idare amirliklerine verilecek beyanname ve bildirimlerin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ifre, elektronik imza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konulmak suretiyle internet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elektronik bilgi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verilmesi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izin vermeye veya zorunluluk getirmeye, beyanname ve bildirimlerin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uyulacak format ve standartlar ile uygulamaya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etmeye, bu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beyanname ve bildirimler ile derneklerin nitelikleri,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uygulatmaya yetkilidir.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beyanname ve bildirimleri doldurma yetkisi, dernek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dernek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verilir. Dernek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merkezinin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 valili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ine, dernek karar defteri ve konuya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fotokopisi ile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karar defteri yetkili il dernekler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personeli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incelenir ve karar fotokopisi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rlenerek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Dernek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il dernekler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klerince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sistemden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retilecek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kodu,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ifreyi ihtiva eden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zarf verilir.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zarf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tesliminde, derne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teslim eden ve teslim alan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ad ve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zarf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teslim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bir tutanak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Bu tutanak dernek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 dernekler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bir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tarih ve saat konulmak suretiyle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Dernek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elektronik ortamda beyanname ve bildirimleri doldurma yetkisi verilen ve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zarf alan dernek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halinde,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ine bildirilir,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verilen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kodu,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iptal edilir. Derne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yeni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kodu,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verilir.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nderilen beyanname ve bildirimler ile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beyanname ve bildirimler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hukuki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itibariyle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fark bulunmamaktad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kodu,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kullanmak suretiyle elektronik ortamda doldurulmu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beyanname ve bildirimler, dernek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beyanname ve bildirimler olarak kabul edilir.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olmayan veya sisteme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klenemeyen beyanname ve bildirim ekleri, derne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merkezinin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elden verilir veya posta yoluyla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Beyanname ve bildirimlerin kanuni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verilen beyanname ve bildirimler olarak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elektronik ortamda doldurma ve onaylama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beyanname ve bildirimlerin verilmesi gereken son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saat </w:t>
      </w:r>
      <w:proofErr w:type="gramStart"/>
      <w:r>
        <w:rPr>
          <w:sz w:val="18"/>
          <w:szCs w:val="18"/>
        </w:rPr>
        <w:t>24:00'den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Beyanname ve bildirimlerin teknik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zalar nedeniyle elektronik ortamda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kanuni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mesainin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saatine kadar, derne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merkezinin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elden verilmesi veya posta yoluyla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gerekmektedir.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kodu,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verilen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kullanamazlar, bir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 izin vermezler.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kodu,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ifrelerinin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kaybedildi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veya hangi nedenle olursa olsun yetkisiz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ilerce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renen dernekler, derhal il dernekler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veya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bilgi verirler.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Kendilerine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kodu,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verilen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bildirim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lemlerden ve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kodu,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sorumludur.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tespit ve tevsikinde,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elektronik ortamda verilen belgeleri,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relere uygun olarak elektronik ve benzeri ortamlarda saklar. Elektronik ortam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 belgeler elektronik ortama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yetkisiz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 engellenmesi hususunda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elektronik ortamdaki belgelerin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tirilmesini ve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olmayan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nleyen teknik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defter tutan dernekler ile kamu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dernekler,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vermekle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beyanname ve bildirimlerini,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kodu,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kullanarak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beyanname ve bildirim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bulunmayan dernekler, kendi istekleriyle bu maddede belirtilen usullere uymak suretiyle beyanname ve bildirimlerini elektronik ortamda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nderebilirler.</w:t>
      </w:r>
      <w:r>
        <w:rPr>
          <w:sz w:val="18"/>
          <w:szCs w:val="18"/>
        </w:rPr>
        <w:t>”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99 uncu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99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verilen ve elektronik ortamda taranarak e-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Sistemi ile Dernekler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e-Ar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Sistemine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klenen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eki olan ancak sisteme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klenemeyen elektronik,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materyal,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veya istenmesi halinde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  <w:r>
        <w:rPr>
          <w:sz w:val="18"/>
          <w:szCs w:val="18"/>
        </w:rPr>
        <w:t>”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26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bir ay sonra,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33BBD" w:rsidRDefault="00633BBD" w:rsidP="00633BB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33BBD" w:rsidRDefault="00633BB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633BB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A44" w:rsidRDefault="00944A44" w:rsidP="003A1052">
      <w:pPr>
        <w:spacing w:after="0" w:line="240" w:lineRule="auto"/>
      </w:pPr>
      <w:r>
        <w:separator/>
      </w:r>
    </w:p>
  </w:endnote>
  <w:endnote w:type="continuationSeparator" w:id="0">
    <w:p w:rsidR="00944A44" w:rsidRDefault="00944A44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A44" w:rsidRDefault="00944A44" w:rsidP="003A1052">
      <w:pPr>
        <w:spacing w:after="0" w:line="240" w:lineRule="auto"/>
      </w:pPr>
      <w:r>
        <w:separator/>
      </w:r>
    </w:p>
  </w:footnote>
  <w:footnote w:type="continuationSeparator" w:id="0">
    <w:p w:rsidR="00944A44" w:rsidRDefault="00944A44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03950"/>
    <w:rsid w:val="005215F9"/>
    <w:rsid w:val="00522866"/>
    <w:rsid w:val="00525E51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50F85"/>
    <w:rsid w:val="00A66ADB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5EB5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1598</Words>
  <Characters>9115</Characters>
  <Application>Microsoft Office Word</Application>
  <DocSecurity>0</DocSecurity>
  <Lines>75</Lines>
  <Paragraphs>21</Paragraphs>
  <ScaleCrop>false</ScaleCrop>
  <Company>TURMOB</Company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285</cp:revision>
  <dcterms:created xsi:type="dcterms:W3CDTF">2011-07-01T05:43:00Z</dcterms:created>
  <dcterms:modified xsi:type="dcterms:W3CDTF">2011-10-31T06:25:00Z</dcterms:modified>
</cp:coreProperties>
</file>