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Default="005355F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0</w:t>
      </w:r>
      <w:r w:rsidR="008C6685">
        <w:rPr>
          <w:b/>
          <w:color w:val="auto"/>
          <w:sz w:val="20"/>
          <w:szCs w:val="20"/>
          <w:u w:val="single"/>
        </w:rPr>
        <w:t>3</w:t>
      </w:r>
      <w:r>
        <w:rPr>
          <w:b/>
          <w:color w:val="auto"/>
          <w:sz w:val="20"/>
          <w:szCs w:val="20"/>
          <w:u w:val="single"/>
        </w:rPr>
        <w:t xml:space="preserve"> Kasım </w:t>
      </w:r>
      <w:r w:rsidR="009F6B64" w:rsidRPr="00A129DD">
        <w:rPr>
          <w:b/>
          <w:color w:val="auto"/>
          <w:sz w:val="20"/>
          <w:szCs w:val="20"/>
          <w:u w:val="single"/>
        </w:rPr>
        <w:t>2011 Tarih,</w:t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127623" w:rsidRPr="00A129DD">
        <w:rPr>
          <w:b/>
          <w:color w:val="auto"/>
          <w:sz w:val="20"/>
          <w:szCs w:val="20"/>
          <w:u w:val="single"/>
        </w:rPr>
        <w:tab/>
      </w:r>
      <w:r w:rsidR="008651DA" w:rsidRPr="00A129DD">
        <w:rPr>
          <w:b/>
          <w:color w:val="auto"/>
          <w:sz w:val="20"/>
          <w:szCs w:val="20"/>
          <w:u w:val="single"/>
        </w:rPr>
        <w:tab/>
      </w:r>
      <w:r w:rsidR="00B84A53" w:rsidRPr="00A129DD">
        <w:rPr>
          <w:b/>
          <w:color w:val="auto"/>
          <w:sz w:val="20"/>
          <w:szCs w:val="20"/>
          <w:u w:val="single"/>
        </w:rPr>
        <w:tab/>
      </w:r>
      <w:r w:rsidR="00832901" w:rsidRPr="00A129DD">
        <w:rPr>
          <w:b/>
          <w:color w:val="auto"/>
          <w:sz w:val="20"/>
          <w:szCs w:val="20"/>
          <w:u w:val="single"/>
        </w:rPr>
        <w:t xml:space="preserve">  </w:t>
      </w:r>
      <w:r w:rsidR="006B1E2F" w:rsidRPr="00A129DD">
        <w:rPr>
          <w:b/>
          <w:color w:val="auto"/>
          <w:sz w:val="20"/>
          <w:szCs w:val="20"/>
          <w:u w:val="single"/>
        </w:rPr>
        <w:t xml:space="preserve"> </w:t>
      </w:r>
      <w:r w:rsidR="00FF555D" w:rsidRPr="00A129DD">
        <w:rPr>
          <w:b/>
          <w:color w:val="auto"/>
          <w:sz w:val="20"/>
          <w:szCs w:val="20"/>
          <w:u w:val="single"/>
        </w:rPr>
        <w:t>S</w:t>
      </w:r>
      <w:r w:rsidR="008C6685">
        <w:rPr>
          <w:b/>
          <w:color w:val="auto"/>
          <w:sz w:val="20"/>
          <w:szCs w:val="20"/>
          <w:u w:val="single"/>
        </w:rPr>
        <w:t>ayı: 28104</w:t>
      </w:r>
    </w:p>
    <w:p w:rsidR="005355FD" w:rsidRDefault="005355F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p w:rsidR="00662A82" w:rsidRDefault="00662A82" w:rsidP="00662A82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662A82" w:rsidRDefault="00662A82" w:rsidP="00662A82">
      <w:pPr>
        <w:pStyle w:val="2-OrtaBaslk0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 KURUMLARI HARCAMA BELGELER</w:t>
      </w:r>
      <w:r>
        <w:rPr>
          <w:sz w:val="18"/>
          <w:szCs w:val="18"/>
        </w:rPr>
        <w:t>İ</w:t>
      </w:r>
    </w:p>
    <w:p w:rsidR="00662A82" w:rsidRDefault="00662A82" w:rsidP="00662A82">
      <w:pPr>
        <w:pStyle w:val="2-OrtaBaslk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>NDE 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 YAPILMASINA</w:t>
      </w:r>
    </w:p>
    <w:p w:rsidR="00662A82" w:rsidRDefault="00662A82" w:rsidP="00662A82">
      <w:pPr>
        <w:pStyle w:val="2-OrtaBaslk0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27/6/2007</w:t>
      </w:r>
      <w:proofErr w:type="gramEnd"/>
      <w:r>
        <w:rPr>
          <w:sz w:val="18"/>
          <w:szCs w:val="18"/>
        </w:rPr>
        <w:t xml:space="preserve"> tarihli ve 26565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Harcama Belgeleri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(b) bendinden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(c) bendi, buna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tesels</w:t>
      </w:r>
      <w:r>
        <w:rPr>
          <w:sz w:val="18"/>
          <w:szCs w:val="18"/>
        </w:rPr>
        <w:t>ü</w:t>
      </w:r>
      <w:r>
        <w:rPr>
          <w:sz w:val="18"/>
          <w:szCs w:val="18"/>
        </w:rPr>
        <w:t>l ettirilen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bentlerden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(</w:t>
      </w:r>
      <w:r>
        <w:rPr>
          <w:sz w:val="18"/>
          <w:szCs w:val="18"/>
        </w:rPr>
        <w:t>ğ</w:t>
      </w:r>
      <w:r>
        <w:rPr>
          <w:sz w:val="18"/>
          <w:szCs w:val="18"/>
        </w:rPr>
        <w:t>) ve (h) bentleri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c) Genel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: </w:t>
      </w:r>
      <w:proofErr w:type="gramStart"/>
      <w:r>
        <w:rPr>
          <w:sz w:val="18"/>
          <w:szCs w:val="18"/>
        </w:rPr>
        <w:t>31/5/2006</w:t>
      </w:r>
      <w:proofErr w:type="gramEnd"/>
      <w:r>
        <w:rPr>
          <w:sz w:val="18"/>
          <w:szCs w:val="18"/>
        </w:rPr>
        <w:t xml:space="preserve"> tarihli ve 5510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Sosyal Sigortalar ve Genel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Sigortas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Kanununun 60 </w:t>
      </w:r>
      <w:proofErr w:type="spellStart"/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maddesinde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ileri,</w:t>
      </w:r>
      <w:r>
        <w:rPr>
          <w:sz w:val="18"/>
          <w:szCs w:val="18"/>
        </w:rPr>
        <w:t>”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“ğ</w:t>
      </w:r>
      <w:r>
        <w:rPr>
          <w:sz w:val="18"/>
          <w:szCs w:val="18"/>
        </w:rPr>
        <w:t>) 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ete: Hekimin hastas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malzeme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imini, dozu,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Kurumca gerek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bilgileri, hastan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kimlik bilgilerini, hastal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his veya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hislerine dair bilgileri,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tarihi,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tesisini ve hastan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tesise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hekime ait ilgili mevzuat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bilgiler ile hekimin imzas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elektronik imzas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k</w:t>
      </w:r>
      <w:r>
        <w:rPr>
          <w:sz w:val="18"/>
          <w:szCs w:val="18"/>
        </w:rPr>
        <w:t>âğı</w:t>
      </w:r>
      <w:r>
        <w:rPr>
          <w:sz w:val="18"/>
          <w:szCs w:val="18"/>
        </w:rPr>
        <w:t>t veya elektronik ortamdaki belge ile asgari bu bilgileri ihtiva eden k</w:t>
      </w:r>
      <w:r>
        <w:rPr>
          <w:sz w:val="18"/>
          <w:szCs w:val="18"/>
        </w:rPr>
        <w:t>âğı</w:t>
      </w:r>
      <w:r>
        <w:rPr>
          <w:sz w:val="18"/>
          <w:szCs w:val="18"/>
        </w:rPr>
        <w:t>t veya elektronik ortamdaki raporu,</w:t>
      </w:r>
      <w:proofErr w:type="gramEnd"/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 ve/veya uzun vadeli sigorta kollar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prim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denmesi gereken veya kendi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prim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gereken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  <w:r>
        <w:rPr>
          <w:sz w:val="18"/>
          <w:szCs w:val="18"/>
        </w:rPr>
        <w:t>”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5 inci maddesinin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maddeye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belirlenir.</w:t>
      </w:r>
      <w:r>
        <w:rPr>
          <w:sz w:val="18"/>
          <w:szCs w:val="18"/>
        </w:rPr>
        <w:t>”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(6)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belirlenir.</w:t>
      </w:r>
      <w:r>
        <w:rPr>
          <w:sz w:val="18"/>
          <w:szCs w:val="18"/>
        </w:rPr>
        <w:t>”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ikinci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ikinci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Cenaze Giderleri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</w:t>
      </w:r>
      <w:r>
        <w:rPr>
          <w:sz w:val="18"/>
          <w:szCs w:val="18"/>
        </w:rPr>
        <w:t>ğ</w:t>
      </w:r>
      <w:r>
        <w:rPr>
          <w:sz w:val="18"/>
          <w:szCs w:val="18"/>
        </w:rPr>
        <w:t>) bendi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45 inci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 xml:space="preserve">MADDE 45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kanunlar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nca, ilgili mevzuat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hak sahiplerine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emekli,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malull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ikramiye, toptan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ve benzeri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istihkaklar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denmesinde;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banka veya bankalar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icmal bordrosu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belgesine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Eczanelere,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genel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mahiyetinde olmayan ve tedavi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beslenme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itli </w:t>
      </w:r>
      <w:proofErr w:type="gramStart"/>
      <w:r>
        <w:rPr>
          <w:sz w:val="18"/>
          <w:szCs w:val="18"/>
        </w:rPr>
        <w:t>protez</w:t>
      </w:r>
      <w:proofErr w:type="gramEnd"/>
      <w:r>
        <w:rPr>
          <w:sz w:val="18"/>
          <w:szCs w:val="18"/>
        </w:rPr>
        <w:t xml:space="preserve"> ve </w:t>
      </w:r>
      <w:proofErr w:type="spellStart"/>
      <w:r>
        <w:rPr>
          <w:sz w:val="18"/>
          <w:szCs w:val="18"/>
        </w:rPr>
        <w:t>ortez</w:t>
      </w:r>
      <w:proofErr w:type="spellEnd"/>
      <w:r>
        <w:rPr>
          <w:sz w:val="18"/>
          <w:szCs w:val="18"/>
        </w:rPr>
        <w:t>, cihaz ve malzeme bedelleri ile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hizmeti giderlerinin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denmesinde aranacak 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belgeler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Eczanelere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demelerde;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mevzuata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gerekli ise hastan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sevkine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belge,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eri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 Ambalaj ve Etiketleme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proofErr w:type="spellStart"/>
      <w:r>
        <w:rPr>
          <w:sz w:val="18"/>
          <w:szCs w:val="18"/>
        </w:rPr>
        <w:t>karekodlu</w:t>
      </w:r>
      <w:proofErr w:type="spellEnd"/>
      <w:r>
        <w:rPr>
          <w:sz w:val="18"/>
          <w:szCs w:val="18"/>
        </w:rPr>
        <w:t xml:space="preserve"> 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fiyat </w:t>
      </w:r>
      <w:proofErr w:type="gramStart"/>
      <w:r>
        <w:rPr>
          <w:sz w:val="18"/>
          <w:szCs w:val="18"/>
        </w:rPr>
        <w:t>kup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rlerinin</w:t>
      </w:r>
      <w:proofErr w:type="gramEnd"/>
      <w:r>
        <w:rPr>
          <w:sz w:val="18"/>
          <w:szCs w:val="18"/>
        </w:rPr>
        <w:t xml:space="preserve"> ve barkot diyagram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ete (G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elektronik imzal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eteleme</w:t>
      </w:r>
      <w:proofErr w:type="spellEnd"/>
      <w:r>
        <w:rPr>
          <w:sz w:val="18"/>
          <w:szCs w:val="18"/>
        </w:rPr>
        <w:t xml:space="preserve">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ilen yerlerde 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 olarak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ete aranmaz.),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etelerin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steren liste (Fatura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takdirde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liste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zenlenmez.),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4) Fatura,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ö</w:t>
      </w:r>
      <w:r>
        <w:rPr>
          <w:sz w:val="18"/>
          <w:szCs w:val="18"/>
        </w:rPr>
        <w:t>deme</w:t>
      </w:r>
      <w:proofErr w:type="gramEnd"/>
      <w:r>
        <w:rPr>
          <w:sz w:val="18"/>
          <w:szCs w:val="18"/>
        </w:rPr>
        <w:t xml:space="preserve"> belgesine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5) Eczane ile faturan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 bulunan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ilk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belgesi ile birlikte muhasebe birimine verilir ve muhasebe birimince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lacak dosyada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Genel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lanan tedavi giderlerinin kendilerine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denmesinde;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mevzuata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gerekli ise hastan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sevkine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belge,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malzemeye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ete ile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eri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 Ambalaj ve Etiketleme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proofErr w:type="spellStart"/>
      <w:r>
        <w:rPr>
          <w:sz w:val="18"/>
          <w:szCs w:val="18"/>
        </w:rPr>
        <w:t>karekodlu</w:t>
      </w:r>
      <w:proofErr w:type="spellEnd"/>
      <w:r>
        <w:rPr>
          <w:sz w:val="18"/>
          <w:szCs w:val="18"/>
        </w:rPr>
        <w:t xml:space="preserve"> 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fiyat </w:t>
      </w:r>
      <w:proofErr w:type="gramStart"/>
      <w:r>
        <w:rPr>
          <w:sz w:val="18"/>
          <w:szCs w:val="18"/>
        </w:rPr>
        <w:t>kup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rlerinin</w:t>
      </w:r>
      <w:proofErr w:type="gramEnd"/>
      <w:r>
        <w:rPr>
          <w:sz w:val="18"/>
          <w:szCs w:val="18"/>
        </w:rPr>
        <w:t xml:space="preserve"> ve barkot diyagram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ete (G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elektronik imzal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eteleme</w:t>
      </w:r>
      <w:proofErr w:type="spellEnd"/>
      <w:r>
        <w:rPr>
          <w:sz w:val="18"/>
          <w:szCs w:val="18"/>
        </w:rPr>
        <w:t xml:space="preserve">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ilen yerlerde 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 olarak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ete aranmaz.),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3)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mevzuatta fatura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belirtilen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fatura,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ö</w:t>
      </w:r>
      <w:r>
        <w:rPr>
          <w:sz w:val="18"/>
          <w:szCs w:val="18"/>
        </w:rPr>
        <w:t>deme</w:t>
      </w:r>
      <w:proofErr w:type="gramEnd"/>
      <w:r>
        <w:rPr>
          <w:sz w:val="18"/>
          <w:szCs w:val="18"/>
        </w:rPr>
        <w:t xml:space="preserve"> belgesine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4)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ndan getirtilen 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bedellerinin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denmesinde faturan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temin edilememesi halinde fiyat </w:t>
      </w:r>
      <w:proofErr w:type="gramStart"/>
      <w:r>
        <w:rPr>
          <w:sz w:val="18"/>
          <w:szCs w:val="18"/>
        </w:rPr>
        <w:t>kup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</w:t>
      </w:r>
      <w:proofErr w:type="gramEnd"/>
      <w:r>
        <w:rPr>
          <w:sz w:val="18"/>
          <w:szCs w:val="18"/>
        </w:rPr>
        <w:t xml:space="preserve">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r, bunlar yoksa Kurumca tespit edilen fiyatlar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5) Kurumca yetkilendirilen kurulu</w:t>
      </w:r>
      <w:r>
        <w:rPr>
          <w:sz w:val="18"/>
          <w:szCs w:val="18"/>
        </w:rPr>
        <w:t>şç</w:t>
      </w:r>
      <w:r>
        <w:rPr>
          <w:sz w:val="18"/>
          <w:szCs w:val="18"/>
        </w:rPr>
        <w:t>a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vergisi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denerek ithal edilen 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bedellerinin genel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denmesinde, (1), (2) ve (3)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alt bentlerde belirtilen belgelere ilave olarak ithal 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provizyon</w:t>
      </w:r>
      <w:proofErr w:type="gramEnd"/>
      <w:r>
        <w:rPr>
          <w:sz w:val="18"/>
          <w:szCs w:val="18"/>
        </w:rPr>
        <w:t xml:space="preserve"> sisteminden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listesi ile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tasdikli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belgesine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demelerde;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mevzuata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gerekli ise hastan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sevkine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belge,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Fatura (Birden fazla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tedavi giderinin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faturada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sterilmesi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tetkik ve tedavinin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listesi de 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r.),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3)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mevzuata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gerekli ise yatan hastalar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hasta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 (</w:t>
      </w:r>
      <w:proofErr w:type="gramStart"/>
      <w:r>
        <w:rPr>
          <w:sz w:val="18"/>
          <w:szCs w:val="18"/>
        </w:rPr>
        <w:t>epikriz</w:t>
      </w:r>
      <w:proofErr w:type="gramEnd"/>
      <w:r>
        <w:rPr>
          <w:sz w:val="18"/>
          <w:szCs w:val="18"/>
        </w:rPr>
        <w:t>),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ö</w:t>
      </w:r>
      <w:r>
        <w:rPr>
          <w:sz w:val="18"/>
          <w:szCs w:val="18"/>
        </w:rPr>
        <w:t>deme</w:t>
      </w:r>
      <w:proofErr w:type="gramEnd"/>
      <w:r>
        <w:rPr>
          <w:sz w:val="18"/>
          <w:szCs w:val="18"/>
        </w:rPr>
        <w:t xml:space="preserve"> belgesine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4)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tedavilere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giderlerin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denmesinde temin edilen belgelerin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terc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melerinin </w:t>
      </w:r>
      <w:proofErr w:type="gramStart"/>
      <w:r>
        <w:rPr>
          <w:sz w:val="18"/>
          <w:szCs w:val="18"/>
        </w:rPr>
        <w:t>misyon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efli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veya ihtisas biriminin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giderlerinin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denmesinde;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remezlik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mevzuatta gerekli ise, hastan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sevkine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belge,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remezlik Belgesi (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 No: 25),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Tedaviye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yol ve zaruri masraf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demelerinde;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mevzuatta gerekli ise, hasta sevkine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belge,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veya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tedavi yolluklar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denmesinde;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yer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bir tedavi kurumuna sevk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veya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tedavisinin gerekli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belge (18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sevk edildikleri yerlere bir kimse refakatinde gitmesinin gerekli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hallerde ise bu durum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ca belge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sterilir.),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akla seyahat halinde bilet,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Maktu anal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(do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um ve emzirme)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demelerinde talep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esi,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ö</w:t>
      </w:r>
      <w:r>
        <w:rPr>
          <w:sz w:val="18"/>
          <w:szCs w:val="18"/>
        </w:rPr>
        <w:t>deme</w:t>
      </w:r>
      <w:proofErr w:type="gramEnd"/>
      <w:r>
        <w:rPr>
          <w:sz w:val="18"/>
          <w:szCs w:val="18"/>
        </w:rPr>
        <w:t xml:space="preserve"> belgesine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Cenaze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u, anas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babas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karde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ilere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denmesinde; fatura veya perakende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fi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kaydedici cihazlara ait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fi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belgesine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mevzuat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hekim veya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 raporuna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belirtilen hallerde rapor 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belgesine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(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 No: 25)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eki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remezlik Belgesi, ekteki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(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 No: 26)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eki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remezlik Devam Belgesi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62A82" w:rsidRDefault="00662A82" w:rsidP="00662A8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662A82" w:rsidRDefault="00662A82" w:rsidP="00662A82">
      <w:pPr>
        <w:pStyle w:val="3-NormalYaz0"/>
        <w:spacing w:after="85"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mlerini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662A82" w:rsidRDefault="00662A82" w:rsidP="00662A82">
      <w:pPr>
        <w:pStyle w:val="3-NormalYaz0"/>
        <w:spacing w:after="85" w:line="240" w:lineRule="exact"/>
        <w:ind w:firstLine="566"/>
        <w:rPr>
          <w:sz w:val="18"/>
          <w:szCs w:val="18"/>
        </w:rPr>
      </w:pPr>
    </w:p>
    <w:p w:rsidR="00662A82" w:rsidRDefault="00662A82" w:rsidP="00662A82">
      <w:pPr>
        <w:pStyle w:val="3-NormalYaz0"/>
        <w:spacing w:after="85" w:line="240" w:lineRule="exact"/>
        <w:rPr>
          <w:b/>
          <w:bCs/>
          <w:sz w:val="18"/>
          <w:szCs w:val="18"/>
        </w:rPr>
      </w:pPr>
      <w:hyperlink r:id="rId6" w:history="1">
        <w:r>
          <w:rPr>
            <w:rStyle w:val="Kpr"/>
            <w:b/>
            <w:bCs/>
            <w:sz w:val="18"/>
            <w:szCs w:val="18"/>
          </w:rPr>
          <w:t>Y</w:t>
        </w:r>
        <w:r>
          <w:rPr>
            <w:rStyle w:val="Kpr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netmeli</w:t>
        </w:r>
        <w:r>
          <w:rPr>
            <w:rStyle w:val="Kpr"/>
            <w:b/>
            <w:bCs/>
            <w:sz w:val="18"/>
            <w:szCs w:val="18"/>
          </w:rPr>
          <w:t>ğ</w:t>
        </w:r>
        <w:r>
          <w:rPr>
            <w:rStyle w:val="Kpr"/>
            <w:b/>
            <w:bCs/>
            <w:sz w:val="18"/>
            <w:szCs w:val="18"/>
          </w:rPr>
          <w:t>in eklerini g</w:t>
        </w:r>
        <w:r>
          <w:rPr>
            <w:rStyle w:val="Kpr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rmek i</w:t>
        </w:r>
        <w:r>
          <w:rPr>
            <w:rStyle w:val="Kpr"/>
            <w:b/>
            <w:bCs/>
            <w:sz w:val="18"/>
            <w:szCs w:val="18"/>
          </w:rPr>
          <w:t>ç</w:t>
        </w:r>
        <w:r>
          <w:rPr>
            <w:rStyle w:val="Kpr"/>
            <w:b/>
            <w:bCs/>
            <w:sz w:val="18"/>
            <w:szCs w:val="18"/>
          </w:rPr>
          <w:t>in t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klay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n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z</w:t>
        </w:r>
      </w:hyperlink>
    </w:p>
    <w:p w:rsidR="00662A82" w:rsidRDefault="00662A82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sectPr w:rsidR="00662A82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7F5" w:rsidRDefault="003067F5" w:rsidP="003A1052">
      <w:pPr>
        <w:spacing w:after="0" w:line="240" w:lineRule="auto"/>
      </w:pPr>
      <w:r>
        <w:separator/>
      </w:r>
    </w:p>
  </w:endnote>
  <w:endnote w:type="continuationSeparator" w:id="0">
    <w:p w:rsidR="003067F5" w:rsidRDefault="003067F5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7F5" w:rsidRDefault="003067F5" w:rsidP="003A1052">
      <w:pPr>
        <w:spacing w:after="0" w:line="240" w:lineRule="auto"/>
      </w:pPr>
      <w:r>
        <w:separator/>
      </w:r>
    </w:p>
  </w:footnote>
  <w:footnote w:type="continuationSeparator" w:id="0">
    <w:p w:rsidR="003067F5" w:rsidRDefault="003067F5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542FB"/>
    <w:rsid w:val="00056351"/>
    <w:rsid w:val="00070C71"/>
    <w:rsid w:val="000725EB"/>
    <w:rsid w:val="000801AE"/>
    <w:rsid w:val="00080788"/>
    <w:rsid w:val="00092337"/>
    <w:rsid w:val="00093F73"/>
    <w:rsid w:val="000951FD"/>
    <w:rsid w:val="00096132"/>
    <w:rsid w:val="000A1679"/>
    <w:rsid w:val="000A745B"/>
    <w:rsid w:val="000B60F4"/>
    <w:rsid w:val="000C4758"/>
    <w:rsid w:val="000C6663"/>
    <w:rsid w:val="000C6EDD"/>
    <w:rsid w:val="000C7AC1"/>
    <w:rsid w:val="000C7F06"/>
    <w:rsid w:val="000D2DDD"/>
    <w:rsid w:val="0010278A"/>
    <w:rsid w:val="00102AEA"/>
    <w:rsid w:val="00104625"/>
    <w:rsid w:val="00116889"/>
    <w:rsid w:val="0012478C"/>
    <w:rsid w:val="00124838"/>
    <w:rsid w:val="00127623"/>
    <w:rsid w:val="001378EB"/>
    <w:rsid w:val="00144D10"/>
    <w:rsid w:val="0015272E"/>
    <w:rsid w:val="00160136"/>
    <w:rsid w:val="00164251"/>
    <w:rsid w:val="00173B86"/>
    <w:rsid w:val="00175B14"/>
    <w:rsid w:val="00183A59"/>
    <w:rsid w:val="00184128"/>
    <w:rsid w:val="00185A3C"/>
    <w:rsid w:val="00191580"/>
    <w:rsid w:val="00191DFE"/>
    <w:rsid w:val="00195866"/>
    <w:rsid w:val="0019666D"/>
    <w:rsid w:val="00196E8A"/>
    <w:rsid w:val="001B4016"/>
    <w:rsid w:val="001B7BAB"/>
    <w:rsid w:val="001C25E5"/>
    <w:rsid w:val="001D3607"/>
    <w:rsid w:val="001D66E0"/>
    <w:rsid w:val="001D6B85"/>
    <w:rsid w:val="001D6F5E"/>
    <w:rsid w:val="001E4506"/>
    <w:rsid w:val="001E467E"/>
    <w:rsid w:val="001F1EDF"/>
    <w:rsid w:val="002078F2"/>
    <w:rsid w:val="00210C2B"/>
    <w:rsid w:val="00213676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668A8"/>
    <w:rsid w:val="00273CA8"/>
    <w:rsid w:val="002805AD"/>
    <w:rsid w:val="002977C1"/>
    <w:rsid w:val="002A1B2B"/>
    <w:rsid w:val="002A1EEE"/>
    <w:rsid w:val="002B13F3"/>
    <w:rsid w:val="002C52C2"/>
    <w:rsid w:val="002D419A"/>
    <w:rsid w:val="002D4761"/>
    <w:rsid w:val="002D4B37"/>
    <w:rsid w:val="002D679F"/>
    <w:rsid w:val="002E3342"/>
    <w:rsid w:val="002F5DD8"/>
    <w:rsid w:val="003067F5"/>
    <w:rsid w:val="003076AD"/>
    <w:rsid w:val="003077B7"/>
    <w:rsid w:val="00316342"/>
    <w:rsid w:val="00316B9E"/>
    <w:rsid w:val="00343EC7"/>
    <w:rsid w:val="00352EAC"/>
    <w:rsid w:val="003817A3"/>
    <w:rsid w:val="00387118"/>
    <w:rsid w:val="003A1052"/>
    <w:rsid w:val="003A43C1"/>
    <w:rsid w:val="003C18D8"/>
    <w:rsid w:val="003D4AE3"/>
    <w:rsid w:val="003D5023"/>
    <w:rsid w:val="003D5D8E"/>
    <w:rsid w:val="003E0AAF"/>
    <w:rsid w:val="003E4A0E"/>
    <w:rsid w:val="003E4E4D"/>
    <w:rsid w:val="003E7E22"/>
    <w:rsid w:val="003F74F6"/>
    <w:rsid w:val="004014A6"/>
    <w:rsid w:val="004114C2"/>
    <w:rsid w:val="0041435E"/>
    <w:rsid w:val="00417B93"/>
    <w:rsid w:val="00424197"/>
    <w:rsid w:val="004258BF"/>
    <w:rsid w:val="00425FF3"/>
    <w:rsid w:val="00430602"/>
    <w:rsid w:val="00432E11"/>
    <w:rsid w:val="004349E9"/>
    <w:rsid w:val="0043568D"/>
    <w:rsid w:val="00440367"/>
    <w:rsid w:val="00442A17"/>
    <w:rsid w:val="00443724"/>
    <w:rsid w:val="00464241"/>
    <w:rsid w:val="00474ECA"/>
    <w:rsid w:val="00474EFC"/>
    <w:rsid w:val="00482025"/>
    <w:rsid w:val="00487223"/>
    <w:rsid w:val="00487ADF"/>
    <w:rsid w:val="0049211B"/>
    <w:rsid w:val="004B1FB5"/>
    <w:rsid w:val="004B4365"/>
    <w:rsid w:val="004D0B2B"/>
    <w:rsid w:val="004E33F1"/>
    <w:rsid w:val="004F0094"/>
    <w:rsid w:val="004F1D04"/>
    <w:rsid w:val="004F225B"/>
    <w:rsid w:val="00500C7E"/>
    <w:rsid w:val="00503950"/>
    <w:rsid w:val="00505DD0"/>
    <w:rsid w:val="005215F9"/>
    <w:rsid w:val="00522866"/>
    <w:rsid w:val="00525E51"/>
    <w:rsid w:val="00531462"/>
    <w:rsid w:val="00531828"/>
    <w:rsid w:val="0053249B"/>
    <w:rsid w:val="0053328B"/>
    <w:rsid w:val="005355FD"/>
    <w:rsid w:val="00544B7D"/>
    <w:rsid w:val="005468FD"/>
    <w:rsid w:val="0055094A"/>
    <w:rsid w:val="00551357"/>
    <w:rsid w:val="00554F4F"/>
    <w:rsid w:val="00557228"/>
    <w:rsid w:val="0056577D"/>
    <w:rsid w:val="0057318F"/>
    <w:rsid w:val="0059644E"/>
    <w:rsid w:val="00597082"/>
    <w:rsid w:val="005A2783"/>
    <w:rsid w:val="005A5606"/>
    <w:rsid w:val="005A6ABE"/>
    <w:rsid w:val="005B6FFE"/>
    <w:rsid w:val="005B79A9"/>
    <w:rsid w:val="005C3E39"/>
    <w:rsid w:val="005D3CD6"/>
    <w:rsid w:val="005E0983"/>
    <w:rsid w:val="005E5275"/>
    <w:rsid w:val="005E68DA"/>
    <w:rsid w:val="005F27DD"/>
    <w:rsid w:val="00605BA2"/>
    <w:rsid w:val="006062A0"/>
    <w:rsid w:val="006077AA"/>
    <w:rsid w:val="0061174E"/>
    <w:rsid w:val="00623CBF"/>
    <w:rsid w:val="00627628"/>
    <w:rsid w:val="00627BD5"/>
    <w:rsid w:val="00633BBD"/>
    <w:rsid w:val="00642DC9"/>
    <w:rsid w:val="006437D1"/>
    <w:rsid w:val="0064395E"/>
    <w:rsid w:val="006445C3"/>
    <w:rsid w:val="00662A82"/>
    <w:rsid w:val="006830F7"/>
    <w:rsid w:val="006864B7"/>
    <w:rsid w:val="0068655A"/>
    <w:rsid w:val="0068702B"/>
    <w:rsid w:val="00687BCB"/>
    <w:rsid w:val="006938DD"/>
    <w:rsid w:val="0069748A"/>
    <w:rsid w:val="006B16F2"/>
    <w:rsid w:val="006B1E2F"/>
    <w:rsid w:val="006B2D9E"/>
    <w:rsid w:val="006B3478"/>
    <w:rsid w:val="006C2D9D"/>
    <w:rsid w:val="006C6633"/>
    <w:rsid w:val="006D754C"/>
    <w:rsid w:val="006E23E0"/>
    <w:rsid w:val="006E5E29"/>
    <w:rsid w:val="00702EA8"/>
    <w:rsid w:val="00741B89"/>
    <w:rsid w:val="00744E68"/>
    <w:rsid w:val="00747E83"/>
    <w:rsid w:val="0076197D"/>
    <w:rsid w:val="00762BA5"/>
    <w:rsid w:val="00762C8F"/>
    <w:rsid w:val="00764A2F"/>
    <w:rsid w:val="00765605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1F37"/>
    <w:rsid w:val="007B6BC2"/>
    <w:rsid w:val="007C3335"/>
    <w:rsid w:val="007C49D4"/>
    <w:rsid w:val="007C6EE6"/>
    <w:rsid w:val="007D0274"/>
    <w:rsid w:val="007D06DF"/>
    <w:rsid w:val="007D49F3"/>
    <w:rsid w:val="007F0B4B"/>
    <w:rsid w:val="007F65C0"/>
    <w:rsid w:val="0080215F"/>
    <w:rsid w:val="00804D2B"/>
    <w:rsid w:val="0081092C"/>
    <w:rsid w:val="00822AEB"/>
    <w:rsid w:val="00824BA1"/>
    <w:rsid w:val="00825713"/>
    <w:rsid w:val="00832901"/>
    <w:rsid w:val="00833E05"/>
    <w:rsid w:val="00840B08"/>
    <w:rsid w:val="00841E88"/>
    <w:rsid w:val="00853C7D"/>
    <w:rsid w:val="00854231"/>
    <w:rsid w:val="00860109"/>
    <w:rsid w:val="00863FCD"/>
    <w:rsid w:val="008651DA"/>
    <w:rsid w:val="00866BE1"/>
    <w:rsid w:val="00871C61"/>
    <w:rsid w:val="008745F3"/>
    <w:rsid w:val="00882F51"/>
    <w:rsid w:val="00883766"/>
    <w:rsid w:val="00885739"/>
    <w:rsid w:val="00892C3F"/>
    <w:rsid w:val="00895061"/>
    <w:rsid w:val="008961C8"/>
    <w:rsid w:val="008A1D74"/>
    <w:rsid w:val="008A7AE1"/>
    <w:rsid w:val="008B30CF"/>
    <w:rsid w:val="008C2BB5"/>
    <w:rsid w:val="008C3907"/>
    <w:rsid w:val="008C5952"/>
    <w:rsid w:val="008C6685"/>
    <w:rsid w:val="008C6DE8"/>
    <w:rsid w:val="008E1E88"/>
    <w:rsid w:val="008E2061"/>
    <w:rsid w:val="008E4DA0"/>
    <w:rsid w:val="008E6DEE"/>
    <w:rsid w:val="008E7DB1"/>
    <w:rsid w:val="008F5931"/>
    <w:rsid w:val="00901E61"/>
    <w:rsid w:val="00902600"/>
    <w:rsid w:val="0090669C"/>
    <w:rsid w:val="00917B47"/>
    <w:rsid w:val="00917E40"/>
    <w:rsid w:val="00920EFE"/>
    <w:rsid w:val="00923977"/>
    <w:rsid w:val="00941FE9"/>
    <w:rsid w:val="009445C8"/>
    <w:rsid w:val="00944A44"/>
    <w:rsid w:val="00955317"/>
    <w:rsid w:val="00964BD2"/>
    <w:rsid w:val="009650C8"/>
    <w:rsid w:val="00981BEE"/>
    <w:rsid w:val="00985E37"/>
    <w:rsid w:val="009906BB"/>
    <w:rsid w:val="009A46F6"/>
    <w:rsid w:val="009A4E3A"/>
    <w:rsid w:val="009B3906"/>
    <w:rsid w:val="009C0635"/>
    <w:rsid w:val="009D2E87"/>
    <w:rsid w:val="009E28FE"/>
    <w:rsid w:val="009E58A2"/>
    <w:rsid w:val="009F6B64"/>
    <w:rsid w:val="00A042C8"/>
    <w:rsid w:val="00A04700"/>
    <w:rsid w:val="00A129DD"/>
    <w:rsid w:val="00A2154C"/>
    <w:rsid w:val="00A2531A"/>
    <w:rsid w:val="00A256DC"/>
    <w:rsid w:val="00A3757F"/>
    <w:rsid w:val="00A50F85"/>
    <w:rsid w:val="00A66ADB"/>
    <w:rsid w:val="00A810FB"/>
    <w:rsid w:val="00A879B5"/>
    <w:rsid w:val="00AC42AB"/>
    <w:rsid w:val="00AC4B67"/>
    <w:rsid w:val="00AE1DF0"/>
    <w:rsid w:val="00AF5538"/>
    <w:rsid w:val="00AF5CA9"/>
    <w:rsid w:val="00B00A87"/>
    <w:rsid w:val="00B04B00"/>
    <w:rsid w:val="00B301C2"/>
    <w:rsid w:val="00B36B6D"/>
    <w:rsid w:val="00B41D47"/>
    <w:rsid w:val="00B4320D"/>
    <w:rsid w:val="00B437BB"/>
    <w:rsid w:val="00B648B6"/>
    <w:rsid w:val="00B716D7"/>
    <w:rsid w:val="00B7286A"/>
    <w:rsid w:val="00B76E62"/>
    <w:rsid w:val="00B83D4A"/>
    <w:rsid w:val="00B83F16"/>
    <w:rsid w:val="00B84A53"/>
    <w:rsid w:val="00B85E7E"/>
    <w:rsid w:val="00B97E8E"/>
    <w:rsid w:val="00BA3092"/>
    <w:rsid w:val="00BA4F93"/>
    <w:rsid w:val="00BB42AF"/>
    <w:rsid w:val="00BC5A40"/>
    <w:rsid w:val="00BD3362"/>
    <w:rsid w:val="00BE17BD"/>
    <w:rsid w:val="00BE395A"/>
    <w:rsid w:val="00C01829"/>
    <w:rsid w:val="00C04DA6"/>
    <w:rsid w:val="00C06C21"/>
    <w:rsid w:val="00C06E23"/>
    <w:rsid w:val="00C179A9"/>
    <w:rsid w:val="00C200DA"/>
    <w:rsid w:val="00C2193F"/>
    <w:rsid w:val="00C25FDE"/>
    <w:rsid w:val="00C438FA"/>
    <w:rsid w:val="00C44126"/>
    <w:rsid w:val="00C54042"/>
    <w:rsid w:val="00C54580"/>
    <w:rsid w:val="00C62998"/>
    <w:rsid w:val="00C67928"/>
    <w:rsid w:val="00C7095B"/>
    <w:rsid w:val="00C71342"/>
    <w:rsid w:val="00CA1B6D"/>
    <w:rsid w:val="00CA3F12"/>
    <w:rsid w:val="00CB3FDE"/>
    <w:rsid w:val="00CB5852"/>
    <w:rsid w:val="00CC4493"/>
    <w:rsid w:val="00CE4354"/>
    <w:rsid w:val="00CE5D2E"/>
    <w:rsid w:val="00CF42F0"/>
    <w:rsid w:val="00D021B0"/>
    <w:rsid w:val="00D0602B"/>
    <w:rsid w:val="00D14499"/>
    <w:rsid w:val="00D241B1"/>
    <w:rsid w:val="00D30B8A"/>
    <w:rsid w:val="00D31EC8"/>
    <w:rsid w:val="00D44515"/>
    <w:rsid w:val="00D46F62"/>
    <w:rsid w:val="00D52BE4"/>
    <w:rsid w:val="00D57246"/>
    <w:rsid w:val="00D6015C"/>
    <w:rsid w:val="00D62413"/>
    <w:rsid w:val="00D6388A"/>
    <w:rsid w:val="00D718E6"/>
    <w:rsid w:val="00D7363C"/>
    <w:rsid w:val="00D83EA9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1DAA"/>
    <w:rsid w:val="00E03CE4"/>
    <w:rsid w:val="00E04E02"/>
    <w:rsid w:val="00E05A61"/>
    <w:rsid w:val="00E11270"/>
    <w:rsid w:val="00E24DC4"/>
    <w:rsid w:val="00E2596F"/>
    <w:rsid w:val="00E27917"/>
    <w:rsid w:val="00E27E35"/>
    <w:rsid w:val="00E54AB3"/>
    <w:rsid w:val="00E604D2"/>
    <w:rsid w:val="00E60806"/>
    <w:rsid w:val="00E8213C"/>
    <w:rsid w:val="00E962DD"/>
    <w:rsid w:val="00EA11EB"/>
    <w:rsid w:val="00EA397E"/>
    <w:rsid w:val="00EA5DF5"/>
    <w:rsid w:val="00EB2764"/>
    <w:rsid w:val="00EB3217"/>
    <w:rsid w:val="00EB4F3D"/>
    <w:rsid w:val="00EB5B90"/>
    <w:rsid w:val="00EB5C6E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32154"/>
    <w:rsid w:val="00F50DE8"/>
    <w:rsid w:val="00F55373"/>
    <w:rsid w:val="00F65EB5"/>
    <w:rsid w:val="00F669EC"/>
    <w:rsid w:val="00F70242"/>
    <w:rsid w:val="00F71BFD"/>
    <w:rsid w:val="00F83A24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43AB"/>
    <w:rsid w:val="00FE5684"/>
    <w:rsid w:val="00FE68F3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990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D3607"/>
    <w:rPr>
      <w:vertAlign w:val="superscript"/>
    </w:rPr>
  </w:style>
  <w:style w:type="character" w:customStyle="1" w:styleId="DipnotMetniChar1">
    <w:name w:val="Dipnot Metni Char1"/>
    <w:basedOn w:val="VarsaylanParagrafYazTipi"/>
    <w:uiPriority w:val="99"/>
    <w:semiHidden/>
    <w:locked/>
    <w:rsid w:val="001D360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s4">
    <w:name w:val="s4"/>
    <w:basedOn w:val="Normal"/>
    <w:rsid w:val="0088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2">
    <w:name w:val="s2"/>
    <w:rsid w:val="00882F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14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835468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migazete.gov.tr/eskiler/2011/11/20111103-5-1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1022</Words>
  <Characters>5826</Characters>
  <Application>Microsoft Office Word</Application>
  <DocSecurity>0</DocSecurity>
  <Lines>48</Lines>
  <Paragraphs>13</Paragraphs>
  <ScaleCrop>false</ScaleCrop>
  <Company>TURMOB</Company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309</cp:revision>
  <dcterms:created xsi:type="dcterms:W3CDTF">2011-07-01T05:43:00Z</dcterms:created>
  <dcterms:modified xsi:type="dcterms:W3CDTF">2011-11-03T06:40:00Z</dcterms:modified>
</cp:coreProperties>
</file>