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FE758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04</w:t>
      </w:r>
      <w:r w:rsidR="005355FD"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28105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FE758D" w:rsidRDefault="00FE758D" w:rsidP="00FE758D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Kurumundan:</w:t>
      </w:r>
    </w:p>
    <w:p w:rsidR="00FE758D" w:rsidRDefault="00FE758D" w:rsidP="00FE758D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PETROL P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YASASI 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>NDE DE</w:t>
      </w:r>
      <w:r>
        <w:rPr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FE758D" w:rsidRDefault="00FE758D" w:rsidP="00FE758D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YAPILMASINA DA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b/>
          <w:bCs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17/6/2004</w:t>
      </w:r>
      <w:proofErr w:type="gramEnd"/>
      <w:r>
        <w:rPr>
          <w:sz w:val="18"/>
          <w:szCs w:val="18"/>
        </w:rPr>
        <w:t xml:space="preserve"> tarihli ve 25495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Petrol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nin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Lisans almak isteyen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birlikte,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belirlenen Petrol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belge ve bilgileri ibraz etmek suretiyle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vurur. Talep edilen lisans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birden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faaliyet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istenmesi halinde,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ilgili faaliyete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eklere de yer verilir.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ma, bayilik ve serbest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eksiksiz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varsa eksikliklerinin giderildi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 itibariyle inceleme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Lisans bedelleri; lisans alma, lisans tadili, lisans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lisans sureti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kartma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Kurum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bedellerdir. Bir sonraki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olacak lisans bedelleri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sonuna kadar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belirlenerek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Lisans bedeli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ikliklerinde,  lisans bedelinin pe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denmesi gereken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olan lisans bedeli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lisans tadili ve lisans sureti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kartma bedeli ile bayilik,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ve serbest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lisans alma ve lisans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bedelleri pe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Lisans alma bedelinin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zde biri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tutar varsa, lisans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reddi halinde bu tutar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irat kaydedilir ve irat kaydedilen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iadesi talep edilemez.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Bir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eyle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birden fazla tadil talebinde bulunulmas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tek lisans tadili bedeli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ade edilen veya reddedilen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lisans bedelleri, irat kaydedilmi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talebi halinde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sahibine iade edilir.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15 inci maddesinin birinci ve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Lisanslar; lisans sahibinin talebi veya Kurumca resen tadil edilebilir.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tadil edilen bayilerin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 bilgisi resen tadil edilir. Maddi hatalardan kaynaklanan tadiller ile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resen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tadillerden lisans tadil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Lisans sahibinin talebi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lisans tadili serbest rekabet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bozucu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eremez. Tadil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ekinde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belirlenen lisans tadili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Tadil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ilgili mevzuata uygun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erlendirme, sunulan belgelerin Kurum merkez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tarihini izleyen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Tadil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ilgili mevzuata uygun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halinde, belirlenen eksikliklerin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giderilmesi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sahibinden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istenir,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eksiklikler giderilmez ise tadil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tadil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iade edilir.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en erken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en erken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ay,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iki ay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maddeye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kradan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 buna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tesels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ettirilmi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ilgili mevzuata uygun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erlendirme, sunulan belgelerin Kurum merkez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tarihini izleyen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vurusunun ilgili mevzuata uygun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 halinde, belirlenen eksikliklerin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giderilmesi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sahibinden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istenir,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eksiklikler giderilmez ise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evrak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iade edilir.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(d)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d) Bayilik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bayilik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mesinin herhangi bir nedenle sona ermesinden veya lisansa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irketine ait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iptali veya sona ermesinden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tadili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Kuruma yeni bayilik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ibraz edilmemesi halinde,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(e) bendi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e) Kendi ticari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bayilik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istasyonlar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bayilerine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bentler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o) Sona eren bayilik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fesih protokol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fesih ihbarnamesi ile birlikte sona erme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Kuruma bildirilmesi,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“ö</w:t>
      </w:r>
      <w:r>
        <w:rPr>
          <w:sz w:val="18"/>
          <w:szCs w:val="18"/>
        </w:rPr>
        <w:t>) Bayilerinin lisans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tadili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lisansa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tankeri veya sabit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pompas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ilgili bayilik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istasyonuna,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tankerlerine ve sabit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pompalar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istasyon otomasyon sistemi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37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 ve/veya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adrese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kategoriden bayilik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verilemez.</w:t>
      </w:r>
      <w:r>
        <w:rPr>
          <w:sz w:val="18"/>
          <w:szCs w:val="18"/>
        </w:rPr>
        <w:t>”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mlesi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maddenin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Bayiler, bayisi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iptal edilmesi halinde,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feshini beklemeksizin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imzalayarak lisans tadil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bulunurlar. Bayiler, bayisi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durdurulmas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ise,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yeniden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mesini beklemeksizin, faaliyetinin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durduruldu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olmak ve lisanslar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tadil ettirmek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temin edebilir.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38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bent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h)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msal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tankeri ve sabit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 pompas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istasyonu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belgenin tanzim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belgesi ile birlikte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bildirmekle,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44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Motorlu kara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akaryak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rlerinden;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nafta, gazya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jet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fuel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oil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rleri ve </w:t>
      </w:r>
      <w:proofErr w:type="spellStart"/>
      <w:r>
        <w:rPr>
          <w:sz w:val="18"/>
          <w:szCs w:val="18"/>
        </w:rPr>
        <w:t>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tbiodizel</w:t>
      </w:r>
      <w:proofErr w:type="spellEnd"/>
      <w:r>
        <w:rPr>
          <w:sz w:val="18"/>
          <w:szCs w:val="18"/>
        </w:rPr>
        <w:t xml:space="preserve"> ikmal edilemez.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petrole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mahk</w:t>
      </w:r>
      <w:r>
        <w:rPr>
          <w:sz w:val="18"/>
          <w:szCs w:val="18"/>
        </w:rPr>
        <w:t>û</w:t>
      </w:r>
      <w:r>
        <w:rPr>
          <w:sz w:val="18"/>
          <w:szCs w:val="18"/>
        </w:rPr>
        <w:t>miyet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sadere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kesinle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nedeniyle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isimleri veya ticari unvanlar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iptal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esiyle birlikte duyurulmak suretiyle kamuoyuna ilan edilir.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madde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sona ermi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iptal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bayilik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sahipleri, bu maddenin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tadil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yapmakla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 Bu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yerine getirmeyenlerin ilgili bayilik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sona erdirilir.</w:t>
      </w:r>
      <w:r>
        <w:rPr>
          <w:sz w:val="18"/>
          <w:szCs w:val="18"/>
        </w:rPr>
        <w:t>”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Ek-2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>tname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formu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FE758D" w:rsidRDefault="00FE758D" w:rsidP="00FE758D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E758D" w:rsidRDefault="00FE758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FE758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8EC" w:rsidRDefault="002C48EC" w:rsidP="003A1052">
      <w:pPr>
        <w:spacing w:after="0" w:line="240" w:lineRule="auto"/>
      </w:pPr>
      <w:r>
        <w:separator/>
      </w:r>
    </w:p>
  </w:endnote>
  <w:endnote w:type="continuationSeparator" w:id="0">
    <w:p w:rsidR="002C48EC" w:rsidRDefault="002C48EC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8EC" w:rsidRDefault="002C48EC" w:rsidP="003A1052">
      <w:pPr>
        <w:spacing w:after="0" w:line="240" w:lineRule="auto"/>
      </w:pPr>
      <w:r>
        <w:separator/>
      </w:r>
    </w:p>
  </w:footnote>
  <w:footnote w:type="continuationSeparator" w:id="0">
    <w:p w:rsidR="002C48EC" w:rsidRDefault="002C48EC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48EC"/>
    <w:rsid w:val="002C52C2"/>
    <w:rsid w:val="002D419A"/>
    <w:rsid w:val="002D4761"/>
    <w:rsid w:val="002D4B37"/>
    <w:rsid w:val="002D679F"/>
    <w:rsid w:val="002E3342"/>
    <w:rsid w:val="002F5DD8"/>
    <w:rsid w:val="003067F5"/>
    <w:rsid w:val="003076AD"/>
    <w:rsid w:val="003077B7"/>
    <w:rsid w:val="00316342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64241"/>
    <w:rsid w:val="00474ECA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0DE8"/>
    <w:rsid w:val="00F55373"/>
    <w:rsid w:val="00F65EB5"/>
    <w:rsid w:val="00F669EC"/>
    <w:rsid w:val="00F70242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1164</Words>
  <Characters>6638</Characters>
  <Application>Microsoft Office Word</Application>
  <DocSecurity>0</DocSecurity>
  <Lines>55</Lines>
  <Paragraphs>15</Paragraphs>
  <ScaleCrop>false</ScaleCrop>
  <Company>TURMOB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311</cp:revision>
  <dcterms:created xsi:type="dcterms:W3CDTF">2011-07-01T05:43:00Z</dcterms:created>
  <dcterms:modified xsi:type="dcterms:W3CDTF">2011-11-04T06:30:00Z</dcterms:modified>
</cp:coreProperties>
</file>