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FE758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04</w:t>
      </w:r>
      <w:r w:rsidR="005355FD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28105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3C36FB" w:rsidRDefault="003C36FB" w:rsidP="003C36FB">
      <w:pPr>
        <w:pStyle w:val="1-Baslk"/>
        <w:spacing w:line="24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3C36FB" w:rsidRDefault="003C36FB" w:rsidP="003C36FB">
      <w:pPr>
        <w:pStyle w:val="2-OrtaBaslk0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GENEL TEBL</w:t>
      </w:r>
      <w:r>
        <w:rPr>
          <w:sz w:val="18"/>
          <w:szCs w:val="18"/>
        </w:rPr>
        <w:t>İĞİ</w:t>
      </w:r>
    </w:p>
    <w:p w:rsidR="003C36FB" w:rsidRDefault="003C36FB" w:rsidP="003C36FB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(TAR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FE-SINIFLANDIRMA KARARLARI)</w:t>
      </w:r>
    </w:p>
    <w:p w:rsidR="003C36FB" w:rsidRDefault="003C36FB" w:rsidP="003C36FB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NO: 13)</w:t>
      </w:r>
    </w:p>
    <w:p w:rsidR="003C36FB" w:rsidRDefault="003C36FB" w:rsidP="003C36FB">
      <w:pPr>
        <w:pStyle w:val="3-NormalYaz0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AB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uyum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layarak,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Tarife Cetveli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 </w:t>
      </w:r>
      <w:proofErr w:type="spellStart"/>
      <w:r>
        <w:rPr>
          <w:sz w:val="18"/>
          <w:szCs w:val="18"/>
        </w:rPr>
        <w:t>Nomanklat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yeknesakl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temin ederek,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duyurmakt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C36FB" w:rsidRDefault="003C36FB" w:rsidP="003C36FB">
      <w:pPr>
        <w:pStyle w:val="3-NormalYaz0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Kapsam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Resmi Gazetesinde muhtelif tarihlerde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Komisyon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nde yer alan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(Ek) kapsar.</w:t>
      </w:r>
    </w:p>
    <w:p w:rsidR="003C36FB" w:rsidRDefault="003C36FB" w:rsidP="003C36FB">
      <w:pPr>
        <w:pStyle w:val="3-NormalYaz0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a)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Cetveli: Bakanlar Kurulunca kabul edilen Tarife Cetveli ile bu Cetvele istatistik alt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ilave edilerek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 Pozisyonlar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Cetvelini,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b) Armonize Sistem (AS)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Uyumu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(Armonize) Mal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Kodlama Sistemi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eki Armonize Sistem </w:t>
      </w:r>
      <w:proofErr w:type="spellStart"/>
      <w:r>
        <w:rPr>
          <w:sz w:val="18"/>
          <w:szCs w:val="18"/>
        </w:rPr>
        <w:t>Nomanklat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 Notlar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  <w:t>c) Genel Yorum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Cetvelinde yer alan Tarifenin yorumuna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genel yorum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Kombine </w:t>
      </w:r>
      <w:proofErr w:type="spellStart"/>
      <w:r>
        <w:rPr>
          <w:sz w:val="18"/>
          <w:szCs w:val="18"/>
        </w:rPr>
        <w:t>Nomanklat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 xml:space="preserve"> (KN) Kodu: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Tarife Cetvelindeki pozisyonlar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ilk 8 rakam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ifade eden ve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3C36FB" w:rsidRDefault="003C36FB" w:rsidP="003C36FB">
      <w:pPr>
        <w:pStyle w:val="3-NormalYaz0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3C36FB" w:rsidRDefault="003C36FB" w:rsidP="003C36FB">
      <w:pPr>
        <w:pStyle w:val="3-NormalYaz0"/>
        <w:spacing w:line="240" w:lineRule="exact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  <w:r>
        <w:rPr>
          <w:b/>
          <w:sz w:val="18"/>
          <w:szCs w:val="18"/>
        </w:rPr>
        <w:tab/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</w:t>
      </w:r>
      <w:r>
        <w:rPr>
          <w:rFonts w:ascii="Cambria Math" w:hAnsi="Cambria Math" w:cs="Cambria Math"/>
          <w:sz w:val="18"/>
          <w:szCs w:val="18"/>
        </w:rPr>
        <w:t> </w:t>
      </w: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C36FB" w:rsidRDefault="003C36FB" w:rsidP="003C36FB">
      <w:pPr>
        <w:pStyle w:val="3-NormalYaz0"/>
        <w:spacing w:line="240" w:lineRule="exact"/>
        <w:rPr>
          <w:sz w:val="18"/>
          <w:szCs w:val="18"/>
        </w:rPr>
      </w:pPr>
    </w:p>
    <w:p w:rsidR="003C36FB" w:rsidRDefault="003C36FB" w:rsidP="003C36FB">
      <w:pPr>
        <w:pStyle w:val="3-NormalYaz0"/>
        <w:spacing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3C36FB" w:rsidRDefault="003C36FB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3C36F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461" w:rsidRDefault="00F76461" w:rsidP="003A1052">
      <w:pPr>
        <w:spacing w:after="0" w:line="240" w:lineRule="auto"/>
      </w:pPr>
      <w:r>
        <w:separator/>
      </w:r>
    </w:p>
  </w:endnote>
  <w:endnote w:type="continuationSeparator" w:id="0">
    <w:p w:rsidR="00F76461" w:rsidRDefault="00F76461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461" w:rsidRDefault="00F76461" w:rsidP="003A1052">
      <w:pPr>
        <w:spacing w:after="0" w:line="240" w:lineRule="auto"/>
      </w:pPr>
      <w:r>
        <w:separator/>
      </w:r>
    </w:p>
  </w:footnote>
  <w:footnote w:type="continuationSeparator" w:id="0">
    <w:p w:rsidR="00F76461" w:rsidRDefault="00F76461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C18D8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0DE8"/>
    <w:rsid w:val="00F55373"/>
    <w:rsid w:val="00F65EB5"/>
    <w:rsid w:val="00F669EC"/>
    <w:rsid w:val="00F70242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1/20111104-8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252</Words>
  <Characters>1440</Characters>
  <Application>Microsoft Office Word</Application>
  <DocSecurity>0</DocSecurity>
  <Lines>12</Lines>
  <Paragraphs>3</Paragraphs>
  <ScaleCrop>false</ScaleCrop>
  <Company>TURMOB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315</cp:revision>
  <dcterms:created xsi:type="dcterms:W3CDTF">2011-07-01T05:43:00Z</dcterms:created>
  <dcterms:modified xsi:type="dcterms:W3CDTF">2011-11-04T06:32:00Z</dcterms:modified>
</cp:coreProperties>
</file>