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FE758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04</w:t>
      </w:r>
      <w:r w:rsidR="005355FD">
        <w:rPr>
          <w:b/>
          <w:color w:val="auto"/>
          <w:sz w:val="20"/>
          <w:szCs w:val="20"/>
          <w:u w:val="single"/>
        </w:rPr>
        <w:t xml:space="preserve"> Kasım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>
        <w:rPr>
          <w:b/>
          <w:color w:val="auto"/>
          <w:sz w:val="20"/>
          <w:szCs w:val="20"/>
          <w:u w:val="single"/>
        </w:rPr>
        <w:t>ayı: 28105</w:t>
      </w:r>
    </w:p>
    <w:p w:rsidR="005355FD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0F638C" w:rsidRDefault="000F638C" w:rsidP="000F638C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Kurulundan:</w:t>
      </w:r>
    </w:p>
    <w:p w:rsidR="000F638C" w:rsidRDefault="000F638C" w:rsidP="000F638C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ESASLAR TEBL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NDE </w:t>
      </w:r>
    </w:p>
    <w:p w:rsidR="000F638C" w:rsidRDefault="000F638C" w:rsidP="000F638C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sz w:val="18"/>
          <w:szCs w:val="18"/>
        </w:rPr>
        <w:t>İĞ</w:t>
      </w:r>
      <w:r>
        <w:rPr>
          <w:sz w:val="18"/>
          <w:szCs w:val="18"/>
        </w:rPr>
        <w:t xml:space="preserve"> </w:t>
      </w:r>
    </w:p>
    <w:p w:rsidR="000F638C" w:rsidRDefault="000F638C" w:rsidP="000F638C">
      <w:pPr>
        <w:pStyle w:val="2-OrtaBaslk0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: I, NO: 44)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14/7/2003</w:t>
      </w:r>
      <w:proofErr w:type="gramEnd"/>
      <w:r>
        <w:rPr>
          <w:sz w:val="18"/>
          <w:szCs w:val="18"/>
        </w:rPr>
        <w:t xml:space="preserve"> tarihli ve 25168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Gazete'de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Seri: I, No: 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lemlerine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Esaslar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nin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Oran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Tam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nme: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nen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malvarl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mevcut veya yeni kurulacak en az iki ortakl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mesini, tam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neticesinde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nen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ortadan kalkmas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nen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devralan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orta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nme: Bir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malvarl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veya birden fazla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mevcut veya yeni kurulacak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k/ortakl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klara devredilmesi olup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ortaklara pay devri modeliyle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modeliyle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smi </w:t>
      </w:r>
      <w:proofErr w:type="spellStart"/>
      <w:r>
        <w:rPr>
          <w:sz w:val="18"/>
          <w:szCs w:val="18"/>
        </w:rPr>
        <w:t>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</w:t>
      </w:r>
      <w:r>
        <w:rPr>
          <w:sz w:val="18"/>
          <w:szCs w:val="18"/>
        </w:rPr>
        <w:t>”</w:t>
      </w:r>
      <w:r>
        <w:rPr>
          <w:sz w:val="18"/>
          <w:szCs w:val="18"/>
        </w:rPr>
        <w:t>yi</w:t>
      </w:r>
      <w:proofErr w:type="spellEnd"/>
      <w:r>
        <w:rPr>
          <w:sz w:val="18"/>
          <w:szCs w:val="18"/>
        </w:rPr>
        <w:t xml:space="preserve">, 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Ortaklara Pay Devri Modeliyle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nme: Bir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malvarl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veya birden fazla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mevcut veya yeni kurulacak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ortakl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a/ortakl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klara devredildi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nen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ortadan kalkmad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nen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devralan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nmeyi, 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>tirak Modeliyle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nme: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nen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nmeye konu malvarl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ortakl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ayni sermaye olarak konuldu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sadece ayni sermaye devrinin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u, devrin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nen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devralan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sermayesinde pay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nmeyi,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 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20/A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</w:p>
    <w:p w:rsidR="000F638C" w:rsidRDefault="000F638C" w:rsidP="000F638C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nme 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20/A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lemine taraf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klardan en az birisinin halka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nmeye konu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son bilan</w:t>
      </w:r>
      <w:r>
        <w:rPr>
          <w:sz w:val="18"/>
          <w:szCs w:val="18"/>
        </w:rPr>
        <w:t>ç</w:t>
      </w:r>
      <w:r>
        <w:rPr>
          <w:sz w:val="18"/>
          <w:szCs w:val="18"/>
        </w:rPr>
        <w:t>o aktif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sonra, ancak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kurulunda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karar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Kurul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dan onay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Halka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tam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ile ortaklara pay devri modeliyle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lemlerinde, mal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unsurlar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devralan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 da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hisse senetlerinin, Kurul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a kaydettirilmesi zorunludur.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tirak modeliyle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nmelerde ise devralan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hisse senetleri Kurul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 Ancak bu durumda,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nen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finansal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borsada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ren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finansal raporlama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kamuya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hale gelir. 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Halka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lemleri,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tesisi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letmenin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elden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larak,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ve hizmetin ifas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sonucunu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urmayacak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nen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bilgilendirilmesini ve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genel kuruldan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iradelerinin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bir duyuru metninin ilan edilmesi zorunludur.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duyuru metni,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duyuru metninin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benzer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erikte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rlanarak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genel kurul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en az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tasarruf sahiplerine duyurulur.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duyuru metninin ilan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duyuru metninin ilan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esaslar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Halka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anonim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leminde devralan taraf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durumunda;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necek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nmeye konu malvarl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ekonomik bir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arz etmesi zorunludur.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Kurulca belirlenen niteliklere sahip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en az iki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nmeye konu malvarl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unsurlar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tespitine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rapor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raporun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recinde Kurula iletilmesi zorunludur. 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Halka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anonim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leminde devreden taraf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devredilen malvarl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verilecek devralan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hisselerinin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tespiti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(b) bendinde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kadar ki,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tirak modeliyle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lemlerinde, devralan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yeni kurulan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sermayesinin % 99,9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nen halka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raporu ve yedinci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kradan kaynaklanan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raporu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 zorunlulu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bulunmaz. Ancak,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Raporu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nun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raporunun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recinde, Kurul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a iletilmesi zorunludur. 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nmeye taraf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nmeye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ve Kurul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finansal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irilmesi, raporun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olumsuz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üş”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ermemesi, raporda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olumlu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üş”</w:t>
      </w:r>
      <w:r>
        <w:rPr>
          <w:sz w:val="18"/>
          <w:szCs w:val="18"/>
        </w:rPr>
        <w:t xml:space="preserve"> bildirilmesine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Kurulca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inceleme sonucunda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lmesi veya raporda </w:t>
      </w:r>
      <w:r>
        <w:rPr>
          <w:sz w:val="18"/>
          <w:szCs w:val="18"/>
        </w:rPr>
        <w:t>“ş</w:t>
      </w:r>
      <w:r>
        <w:rPr>
          <w:sz w:val="18"/>
          <w:szCs w:val="18"/>
        </w:rPr>
        <w:t>artl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üş”</w:t>
      </w:r>
      <w:r>
        <w:rPr>
          <w:sz w:val="18"/>
          <w:szCs w:val="18"/>
        </w:rPr>
        <w:t xml:space="preserve"> bildirilmesi durumunda,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konusu durumlara neden olan hususlar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raporun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zeltilmesi gerekmektedir.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vurularda, bu maddede yer almayan hususlarda, bu Tebli</w:t>
      </w:r>
      <w:r>
        <w:rPr>
          <w:sz w:val="18"/>
          <w:szCs w:val="18"/>
        </w:rPr>
        <w:t>ğ’</w:t>
      </w:r>
      <w:r>
        <w:rPr>
          <w:sz w:val="18"/>
          <w:szCs w:val="18"/>
        </w:rPr>
        <w:t>de yer alan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yasen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0F638C" w:rsidRDefault="000F638C" w:rsidP="000F638C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Sermaye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F638C" w:rsidRDefault="000F638C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0F638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D09" w:rsidRDefault="00AD5D09" w:rsidP="003A1052">
      <w:pPr>
        <w:spacing w:after="0" w:line="240" w:lineRule="auto"/>
      </w:pPr>
      <w:r>
        <w:separator/>
      </w:r>
    </w:p>
  </w:endnote>
  <w:endnote w:type="continuationSeparator" w:id="0">
    <w:p w:rsidR="00AD5D09" w:rsidRDefault="00AD5D09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D09" w:rsidRDefault="00AD5D09" w:rsidP="003A1052">
      <w:pPr>
        <w:spacing w:after="0" w:line="240" w:lineRule="auto"/>
      </w:pPr>
      <w:r>
        <w:separator/>
      </w:r>
    </w:p>
  </w:footnote>
  <w:footnote w:type="continuationSeparator" w:id="0">
    <w:p w:rsidR="00AD5D09" w:rsidRDefault="00AD5D09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A745B"/>
    <w:rsid w:val="000B60F4"/>
    <w:rsid w:val="000C4758"/>
    <w:rsid w:val="000C6663"/>
    <w:rsid w:val="000C6EDD"/>
    <w:rsid w:val="000C7AC1"/>
    <w:rsid w:val="000C7F06"/>
    <w:rsid w:val="000D2DDD"/>
    <w:rsid w:val="000F638C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4506"/>
    <w:rsid w:val="001E467E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77C1"/>
    <w:rsid w:val="002A1B2B"/>
    <w:rsid w:val="002A1EEE"/>
    <w:rsid w:val="002B13F3"/>
    <w:rsid w:val="002C48EC"/>
    <w:rsid w:val="002C52C2"/>
    <w:rsid w:val="002D419A"/>
    <w:rsid w:val="002D4761"/>
    <w:rsid w:val="002D4B37"/>
    <w:rsid w:val="002D679F"/>
    <w:rsid w:val="002E3342"/>
    <w:rsid w:val="002F5DD8"/>
    <w:rsid w:val="003067F5"/>
    <w:rsid w:val="003076AD"/>
    <w:rsid w:val="003077B7"/>
    <w:rsid w:val="00316342"/>
    <w:rsid w:val="00316B9E"/>
    <w:rsid w:val="00341F41"/>
    <w:rsid w:val="00343EC7"/>
    <w:rsid w:val="00352EAC"/>
    <w:rsid w:val="003817A3"/>
    <w:rsid w:val="00387118"/>
    <w:rsid w:val="003A1052"/>
    <w:rsid w:val="003A43C1"/>
    <w:rsid w:val="003C18D8"/>
    <w:rsid w:val="003C36FB"/>
    <w:rsid w:val="003D4AE3"/>
    <w:rsid w:val="003D5023"/>
    <w:rsid w:val="003D5D8E"/>
    <w:rsid w:val="003E0AAF"/>
    <w:rsid w:val="003E4A0E"/>
    <w:rsid w:val="003E4E4D"/>
    <w:rsid w:val="003E7E22"/>
    <w:rsid w:val="003F74F6"/>
    <w:rsid w:val="004014A6"/>
    <w:rsid w:val="00405875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2A17"/>
    <w:rsid w:val="00443724"/>
    <w:rsid w:val="00464241"/>
    <w:rsid w:val="00474ECA"/>
    <w:rsid w:val="00474EFC"/>
    <w:rsid w:val="00482025"/>
    <w:rsid w:val="00487223"/>
    <w:rsid w:val="00487ADF"/>
    <w:rsid w:val="0049211B"/>
    <w:rsid w:val="004925F4"/>
    <w:rsid w:val="004B1FB5"/>
    <w:rsid w:val="004B4365"/>
    <w:rsid w:val="004D0B2B"/>
    <w:rsid w:val="004E33F1"/>
    <w:rsid w:val="004F0094"/>
    <w:rsid w:val="004F1D04"/>
    <w:rsid w:val="004F225B"/>
    <w:rsid w:val="00500C7E"/>
    <w:rsid w:val="0050384D"/>
    <w:rsid w:val="00503950"/>
    <w:rsid w:val="00505DD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503E0"/>
    <w:rsid w:val="00662A82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6F6C65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3335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2F51"/>
    <w:rsid w:val="00883766"/>
    <w:rsid w:val="00885739"/>
    <w:rsid w:val="00892C3F"/>
    <w:rsid w:val="00895061"/>
    <w:rsid w:val="008961C8"/>
    <w:rsid w:val="008A1D74"/>
    <w:rsid w:val="008A7AE1"/>
    <w:rsid w:val="008B30CF"/>
    <w:rsid w:val="008C2BB5"/>
    <w:rsid w:val="008C3907"/>
    <w:rsid w:val="008C5952"/>
    <w:rsid w:val="008C6685"/>
    <w:rsid w:val="008C6DE8"/>
    <w:rsid w:val="008E1E88"/>
    <w:rsid w:val="008E2061"/>
    <w:rsid w:val="008E4DA0"/>
    <w:rsid w:val="008E6DEE"/>
    <w:rsid w:val="008E7DB1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810FB"/>
    <w:rsid w:val="00A879B5"/>
    <w:rsid w:val="00AC42AB"/>
    <w:rsid w:val="00AC4B67"/>
    <w:rsid w:val="00AD5D09"/>
    <w:rsid w:val="00AE1DF0"/>
    <w:rsid w:val="00AF5538"/>
    <w:rsid w:val="00AF5CA9"/>
    <w:rsid w:val="00B00A87"/>
    <w:rsid w:val="00B04B00"/>
    <w:rsid w:val="00B301C2"/>
    <w:rsid w:val="00B36B6D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4720D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B5852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10D3"/>
    <w:rsid w:val="00E8213C"/>
    <w:rsid w:val="00E962DD"/>
    <w:rsid w:val="00EA11EB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276A9"/>
    <w:rsid w:val="00F32154"/>
    <w:rsid w:val="00F50DE8"/>
    <w:rsid w:val="00F55373"/>
    <w:rsid w:val="00F65EB5"/>
    <w:rsid w:val="00F669EC"/>
    <w:rsid w:val="00F70242"/>
    <w:rsid w:val="00F71BFD"/>
    <w:rsid w:val="00F76461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8F3"/>
    <w:rsid w:val="00FE69C3"/>
    <w:rsid w:val="00FE758D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4">
    <w:name w:val="s4"/>
    <w:basedOn w:val="Normal"/>
    <w:rsid w:val="008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rsid w:val="00882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768</Words>
  <Characters>4381</Characters>
  <Application>Microsoft Office Word</Application>
  <DocSecurity>0</DocSecurity>
  <Lines>36</Lines>
  <Paragraphs>10</Paragraphs>
  <ScaleCrop>false</ScaleCrop>
  <Company>TURMOB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319</cp:revision>
  <dcterms:created xsi:type="dcterms:W3CDTF">2011-07-01T05:43:00Z</dcterms:created>
  <dcterms:modified xsi:type="dcterms:W3CDTF">2011-11-04T06:33:00Z</dcterms:modified>
</cp:coreProperties>
</file>