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5D3845" w:rsidRDefault="00DC2977" w:rsidP="005D3845">
      <w:pPr>
        <w:pStyle w:val="NormalWeb"/>
        <w:spacing w:before="0" w:beforeAutospacing="0" w:after="0" w:afterAutospacing="0" w:line="280" w:lineRule="atLeast"/>
        <w:jc w:val="both"/>
        <w:rPr>
          <w:b/>
          <w:color w:val="auto"/>
          <w:sz w:val="20"/>
          <w:szCs w:val="20"/>
          <w:u w:val="single"/>
        </w:rPr>
      </w:pPr>
      <w:r w:rsidRPr="005D3845">
        <w:rPr>
          <w:b/>
          <w:color w:val="auto"/>
          <w:sz w:val="20"/>
          <w:szCs w:val="20"/>
          <w:u w:val="single"/>
        </w:rPr>
        <w:t>26</w:t>
      </w:r>
      <w:r w:rsidR="0004471A" w:rsidRPr="005D3845">
        <w:rPr>
          <w:b/>
          <w:color w:val="auto"/>
          <w:sz w:val="20"/>
          <w:szCs w:val="20"/>
          <w:u w:val="single"/>
        </w:rPr>
        <w:t xml:space="preserve"> </w:t>
      </w:r>
      <w:r w:rsidR="005355FD" w:rsidRPr="005D3845">
        <w:rPr>
          <w:b/>
          <w:color w:val="auto"/>
          <w:sz w:val="20"/>
          <w:szCs w:val="20"/>
          <w:u w:val="single"/>
        </w:rPr>
        <w:t xml:space="preserve">Kasım </w:t>
      </w:r>
      <w:r w:rsidR="009F6B64" w:rsidRPr="005D3845">
        <w:rPr>
          <w:b/>
          <w:color w:val="auto"/>
          <w:sz w:val="20"/>
          <w:szCs w:val="20"/>
          <w:u w:val="single"/>
        </w:rPr>
        <w:t>2011 Tarih,</w:t>
      </w:r>
      <w:r w:rsidR="009F6B64" w:rsidRPr="005D3845">
        <w:rPr>
          <w:b/>
          <w:color w:val="auto"/>
          <w:sz w:val="20"/>
          <w:szCs w:val="20"/>
          <w:u w:val="single"/>
        </w:rPr>
        <w:tab/>
      </w:r>
      <w:r w:rsidR="009F6B64" w:rsidRPr="005D3845">
        <w:rPr>
          <w:b/>
          <w:color w:val="auto"/>
          <w:sz w:val="20"/>
          <w:szCs w:val="20"/>
          <w:u w:val="single"/>
        </w:rPr>
        <w:tab/>
      </w:r>
      <w:r w:rsidR="009F6B64" w:rsidRPr="005D3845">
        <w:rPr>
          <w:b/>
          <w:color w:val="auto"/>
          <w:sz w:val="20"/>
          <w:szCs w:val="20"/>
          <w:u w:val="single"/>
        </w:rPr>
        <w:tab/>
      </w:r>
      <w:r w:rsidR="009F6B64" w:rsidRPr="005D3845">
        <w:rPr>
          <w:b/>
          <w:color w:val="auto"/>
          <w:sz w:val="20"/>
          <w:szCs w:val="20"/>
          <w:u w:val="single"/>
        </w:rPr>
        <w:tab/>
      </w:r>
      <w:r w:rsidR="00127623" w:rsidRPr="005D3845">
        <w:rPr>
          <w:b/>
          <w:color w:val="auto"/>
          <w:sz w:val="20"/>
          <w:szCs w:val="20"/>
          <w:u w:val="single"/>
        </w:rPr>
        <w:tab/>
      </w:r>
      <w:r w:rsidR="008651DA" w:rsidRPr="005D3845">
        <w:rPr>
          <w:b/>
          <w:color w:val="auto"/>
          <w:sz w:val="20"/>
          <w:szCs w:val="20"/>
          <w:u w:val="single"/>
        </w:rPr>
        <w:tab/>
      </w:r>
      <w:r w:rsidR="00B84A53" w:rsidRPr="005D3845">
        <w:rPr>
          <w:b/>
          <w:color w:val="auto"/>
          <w:sz w:val="20"/>
          <w:szCs w:val="20"/>
          <w:u w:val="single"/>
        </w:rPr>
        <w:tab/>
      </w:r>
      <w:r w:rsidR="00832901" w:rsidRPr="005D3845">
        <w:rPr>
          <w:b/>
          <w:color w:val="auto"/>
          <w:sz w:val="20"/>
          <w:szCs w:val="20"/>
          <w:u w:val="single"/>
        </w:rPr>
        <w:t xml:space="preserve"> </w:t>
      </w:r>
      <w:r w:rsidR="00D85BD8" w:rsidRPr="005D3845">
        <w:rPr>
          <w:b/>
          <w:color w:val="auto"/>
          <w:sz w:val="20"/>
          <w:szCs w:val="20"/>
          <w:u w:val="single"/>
        </w:rPr>
        <w:tab/>
      </w:r>
      <w:r w:rsidR="00D85BD8" w:rsidRPr="005D3845">
        <w:rPr>
          <w:b/>
          <w:color w:val="auto"/>
          <w:sz w:val="20"/>
          <w:szCs w:val="20"/>
          <w:u w:val="single"/>
        </w:rPr>
        <w:tab/>
      </w:r>
      <w:r w:rsidR="00832901" w:rsidRPr="005D3845">
        <w:rPr>
          <w:b/>
          <w:color w:val="auto"/>
          <w:sz w:val="20"/>
          <w:szCs w:val="20"/>
          <w:u w:val="single"/>
        </w:rPr>
        <w:t xml:space="preserve"> </w:t>
      </w:r>
      <w:r w:rsidR="006B1E2F" w:rsidRPr="005D3845">
        <w:rPr>
          <w:b/>
          <w:color w:val="auto"/>
          <w:sz w:val="20"/>
          <w:szCs w:val="20"/>
          <w:u w:val="single"/>
        </w:rPr>
        <w:t xml:space="preserve"> </w:t>
      </w:r>
      <w:r w:rsidR="00FF555D" w:rsidRPr="005D3845">
        <w:rPr>
          <w:b/>
          <w:color w:val="auto"/>
          <w:sz w:val="20"/>
          <w:szCs w:val="20"/>
          <w:u w:val="single"/>
        </w:rPr>
        <w:t>S</w:t>
      </w:r>
      <w:r w:rsidRPr="005D3845">
        <w:rPr>
          <w:b/>
          <w:color w:val="auto"/>
          <w:sz w:val="20"/>
          <w:szCs w:val="20"/>
          <w:u w:val="single"/>
        </w:rPr>
        <w:t>ayı: 28124</w:t>
      </w:r>
    </w:p>
    <w:p w:rsidR="00DC2977" w:rsidRPr="005D3845" w:rsidRDefault="00DC2977" w:rsidP="005D3845">
      <w:pPr>
        <w:pStyle w:val="NormalWeb"/>
        <w:spacing w:before="0" w:beforeAutospacing="0" w:after="0" w:afterAutospacing="0" w:line="276" w:lineRule="auto"/>
        <w:jc w:val="both"/>
        <w:rPr>
          <w:color w:val="auto"/>
          <w:sz w:val="20"/>
          <w:szCs w:val="20"/>
        </w:rPr>
      </w:pPr>
    </w:p>
    <w:p w:rsidR="005D3845" w:rsidRPr="005D3845" w:rsidRDefault="005D3845" w:rsidP="005D3845">
      <w:pPr>
        <w:pStyle w:val="NormalWeb"/>
        <w:jc w:val="both"/>
        <w:rPr>
          <w:b/>
          <w:sz w:val="20"/>
          <w:szCs w:val="20"/>
        </w:rPr>
      </w:pPr>
      <w:r w:rsidRPr="005D3845">
        <w:rPr>
          <w:b/>
          <w:sz w:val="20"/>
          <w:szCs w:val="20"/>
        </w:rPr>
        <w:t>Danıştay Üçüncü Daire Başkanlığından:</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b/>
          <w:bCs/>
          <w:sz w:val="20"/>
          <w:szCs w:val="20"/>
        </w:rPr>
        <w:t xml:space="preserve">Esas </w:t>
      </w:r>
      <w:proofErr w:type="gramStart"/>
      <w:r w:rsidRPr="005D3845">
        <w:rPr>
          <w:b/>
          <w:bCs/>
          <w:sz w:val="20"/>
          <w:szCs w:val="20"/>
        </w:rPr>
        <w:t>No</w:t>
      </w:r>
      <w:r w:rsidRPr="005D3845">
        <w:rPr>
          <w:sz w:val="20"/>
          <w:szCs w:val="20"/>
        </w:rPr>
        <w:t xml:space="preserve">           : 2011</w:t>
      </w:r>
      <w:proofErr w:type="gramEnd"/>
      <w:r w:rsidRPr="005D3845">
        <w:rPr>
          <w:sz w:val="20"/>
          <w:szCs w:val="20"/>
        </w:rPr>
        <w:t>/1576</w:t>
      </w:r>
    </w:p>
    <w:p w:rsidR="005D3845" w:rsidRPr="005D3845" w:rsidRDefault="005D3845" w:rsidP="005D3845">
      <w:pPr>
        <w:pStyle w:val="NormalWeb"/>
        <w:jc w:val="both"/>
        <w:rPr>
          <w:sz w:val="20"/>
          <w:szCs w:val="20"/>
        </w:rPr>
      </w:pPr>
      <w:r w:rsidRPr="005D3845">
        <w:rPr>
          <w:b/>
          <w:bCs/>
          <w:sz w:val="20"/>
          <w:szCs w:val="20"/>
        </w:rPr>
        <w:t xml:space="preserve">Karar </w:t>
      </w:r>
      <w:proofErr w:type="gramStart"/>
      <w:r w:rsidRPr="005D3845">
        <w:rPr>
          <w:b/>
          <w:bCs/>
          <w:sz w:val="20"/>
          <w:szCs w:val="20"/>
        </w:rPr>
        <w:t>No</w:t>
      </w:r>
      <w:r w:rsidRPr="005D3845">
        <w:rPr>
          <w:sz w:val="20"/>
          <w:szCs w:val="20"/>
        </w:rPr>
        <w:t xml:space="preserve">         : 2011</w:t>
      </w:r>
      <w:proofErr w:type="gramEnd"/>
      <w:r w:rsidRPr="005D3845">
        <w:rPr>
          <w:sz w:val="20"/>
          <w:szCs w:val="20"/>
        </w:rPr>
        <w:t>/5105</w:t>
      </w:r>
    </w:p>
    <w:p w:rsidR="005D3845" w:rsidRPr="005D3845" w:rsidRDefault="005D3845" w:rsidP="005D3845">
      <w:pPr>
        <w:pStyle w:val="NormalWeb"/>
        <w:jc w:val="both"/>
        <w:rPr>
          <w:sz w:val="20"/>
          <w:szCs w:val="20"/>
        </w:rPr>
      </w:pPr>
      <w:r w:rsidRPr="005D3845">
        <w:rPr>
          <w:b/>
          <w:bCs/>
          <w:sz w:val="20"/>
          <w:szCs w:val="20"/>
        </w:rPr>
        <w:t xml:space="preserve">Kanun Yararına Temyiz </w:t>
      </w:r>
      <w:proofErr w:type="gramStart"/>
      <w:r w:rsidRPr="005D3845">
        <w:rPr>
          <w:b/>
          <w:bCs/>
          <w:sz w:val="20"/>
          <w:szCs w:val="20"/>
        </w:rPr>
        <w:t>Eden</w:t>
      </w:r>
      <w:r w:rsidRPr="005D3845">
        <w:rPr>
          <w:sz w:val="20"/>
          <w:szCs w:val="20"/>
        </w:rPr>
        <w:t xml:space="preserve"> : DANIŞTAY</w:t>
      </w:r>
      <w:proofErr w:type="gramEnd"/>
      <w:r w:rsidRPr="005D3845">
        <w:rPr>
          <w:sz w:val="20"/>
          <w:szCs w:val="20"/>
        </w:rPr>
        <w:t xml:space="preserve"> BAŞSAVCISI</w:t>
      </w:r>
    </w:p>
    <w:p w:rsidR="005D3845" w:rsidRPr="005D3845" w:rsidRDefault="005D3845" w:rsidP="005D3845">
      <w:pPr>
        <w:pStyle w:val="NormalWeb"/>
        <w:jc w:val="both"/>
        <w:rPr>
          <w:sz w:val="20"/>
          <w:szCs w:val="20"/>
        </w:rPr>
      </w:pPr>
      <w:r w:rsidRPr="005D3845">
        <w:rPr>
          <w:b/>
          <w:bCs/>
          <w:sz w:val="20"/>
          <w:szCs w:val="20"/>
        </w:rPr>
        <w:t>Davacı</w:t>
      </w:r>
      <w:r w:rsidRPr="005D3845">
        <w:rPr>
          <w:sz w:val="20"/>
          <w:szCs w:val="20"/>
        </w:rPr>
        <w:t xml:space="preserve">                   : Ali </w:t>
      </w:r>
      <w:proofErr w:type="gramStart"/>
      <w:r w:rsidRPr="005D3845">
        <w:rPr>
          <w:sz w:val="20"/>
          <w:szCs w:val="20"/>
        </w:rPr>
        <w:t>...............</w:t>
      </w:r>
      <w:proofErr w:type="gramEnd"/>
    </w:p>
    <w:p w:rsidR="005D3845" w:rsidRPr="005D3845" w:rsidRDefault="005D3845" w:rsidP="005D3845">
      <w:pPr>
        <w:pStyle w:val="NormalWeb"/>
        <w:jc w:val="both"/>
        <w:rPr>
          <w:sz w:val="20"/>
          <w:szCs w:val="20"/>
        </w:rPr>
      </w:pPr>
      <w:r w:rsidRPr="005D3845">
        <w:rPr>
          <w:b/>
          <w:bCs/>
          <w:sz w:val="20"/>
          <w:szCs w:val="20"/>
        </w:rPr>
        <w:t>Vekili</w:t>
      </w:r>
      <w:r w:rsidRPr="005D3845">
        <w:rPr>
          <w:sz w:val="20"/>
          <w:szCs w:val="20"/>
        </w:rPr>
        <w:t xml:space="preserve">                     : </w:t>
      </w:r>
      <w:proofErr w:type="spellStart"/>
      <w:r w:rsidRPr="005D3845">
        <w:rPr>
          <w:sz w:val="20"/>
          <w:szCs w:val="20"/>
        </w:rPr>
        <w:t>Av.Akın</w:t>
      </w:r>
      <w:proofErr w:type="spellEnd"/>
      <w:r w:rsidRPr="005D3845">
        <w:rPr>
          <w:sz w:val="20"/>
          <w:szCs w:val="20"/>
        </w:rPr>
        <w:t xml:space="preserve"> </w:t>
      </w:r>
      <w:proofErr w:type="gramStart"/>
      <w:r w:rsidRPr="005D3845">
        <w:rPr>
          <w:sz w:val="20"/>
          <w:szCs w:val="20"/>
        </w:rPr>
        <w:t>..............</w:t>
      </w:r>
      <w:proofErr w:type="gramEnd"/>
      <w:r w:rsidRPr="005D3845">
        <w:rPr>
          <w:sz w:val="20"/>
          <w:szCs w:val="20"/>
        </w:rPr>
        <w:t>-Cumhuriyet Bulvarı-İZMİR</w:t>
      </w:r>
    </w:p>
    <w:p w:rsidR="005D3845" w:rsidRPr="005D3845" w:rsidRDefault="005D3845" w:rsidP="005D3845">
      <w:pPr>
        <w:pStyle w:val="NormalWeb"/>
        <w:jc w:val="both"/>
        <w:rPr>
          <w:sz w:val="20"/>
          <w:szCs w:val="20"/>
        </w:rPr>
      </w:pPr>
      <w:r w:rsidRPr="005D3845">
        <w:rPr>
          <w:b/>
          <w:bCs/>
          <w:sz w:val="20"/>
          <w:szCs w:val="20"/>
        </w:rPr>
        <w:t xml:space="preserve">Karşı </w:t>
      </w:r>
      <w:proofErr w:type="gramStart"/>
      <w:r w:rsidRPr="005D3845">
        <w:rPr>
          <w:b/>
          <w:bCs/>
          <w:sz w:val="20"/>
          <w:szCs w:val="20"/>
        </w:rPr>
        <w:t>Taraf</w:t>
      </w:r>
      <w:r w:rsidRPr="005D3845">
        <w:rPr>
          <w:sz w:val="20"/>
          <w:szCs w:val="20"/>
        </w:rPr>
        <w:t xml:space="preserve">            : Karşıyaka</w:t>
      </w:r>
      <w:proofErr w:type="gramEnd"/>
      <w:r w:rsidRPr="005D3845">
        <w:rPr>
          <w:sz w:val="20"/>
          <w:szCs w:val="20"/>
        </w:rPr>
        <w:t xml:space="preserve"> Vergi Dairesi Müdürlüğü-İZMİR</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b/>
          <w:bCs/>
          <w:sz w:val="20"/>
          <w:szCs w:val="20"/>
        </w:rPr>
        <w:t>İstemin Özeti</w:t>
      </w:r>
      <w:r w:rsidRPr="005D3845">
        <w:rPr>
          <w:sz w:val="20"/>
          <w:szCs w:val="20"/>
        </w:rPr>
        <w:t xml:space="preserve">         : Ortağı olduğu </w:t>
      </w:r>
      <w:proofErr w:type="gramStart"/>
      <w:r w:rsidRPr="005D3845">
        <w:rPr>
          <w:sz w:val="20"/>
          <w:szCs w:val="20"/>
        </w:rPr>
        <w:t>...............</w:t>
      </w:r>
      <w:proofErr w:type="gramEnd"/>
      <w:r w:rsidRPr="005D3845">
        <w:rPr>
          <w:sz w:val="20"/>
          <w:szCs w:val="20"/>
        </w:rPr>
        <w:t xml:space="preserve"> Petrol Gazları İnşaat Turizm Ticaret </w:t>
      </w:r>
      <w:proofErr w:type="spellStart"/>
      <w:r w:rsidRPr="005D3845">
        <w:rPr>
          <w:sz w:val="20"/>
          <w:szCs w:val="20"/>
        </w:rPr>
        <w:t>LimitedŞirketinin</w:t>
      </w:r>
      <w:proofErr w:type="spellEnd"/>
      <w:r w:rsidRPr="005D3845">
        <w:rPr>
          <w:sz w:val="20"/>
          <w:szCs w:val="20"/>
        </w:rPr>
        <w:t xml:space="preserve"> vergi borçları nedeniyle davacı adına düzenlenen ödeme emrinin iptaline karar veren ve itiraz edilmeyerek kesinleşen İzmir 3. Vergi Mahkemesinin 28.12.2009 gün ve E:2009/1232, K:2009/1942 sayılı kararının; 2577 sayılı İdari Yargılama Usulü Kanununun ‘Kararlarda Bulunacak Hususlar’ başlığını taşıyan 24’üncü maddesinin (f) fıkrasında; kararlarda yargılama giderleri ve hangi tarafa yükletildiğinin belirtileceği, aynı Kanunun 31’inci maddesinin göndermede bulunduğu Hukuk Usulü Muhakemeleri Kanununun 423’üncü maddesinin 6’ncı fıkrasında </w:t>
      </w:r>
      <w:proofErr w:type="gramStart"/>
      <w:r w:rsidRPr="005D3845">
        <w:rPr>
          <w:sz w:val="20"/>
          <w:szCs w:val="20"/>
        </w:rPr>
        <w:t>vekalet</w:t>
      </w:r>
      <w:proofErr w:type="gramEnd"/>
      <w:r w:rsidRPr="005D3845">
        <w:rPr>
          <w:sz w:val="20"/>
          <w:szCs w:val="20"/>
        </w:rPr>
        <w:t xml:space="preserve"> ücretinin yargılama giderleri arasında sayıldığı, 416 ve 417’nci maddelerinde ise; yargılama giderlerinin davada haksız çıkan taraftan alınarak haklı çıkana verilmesine karar verileceğine ilişkin hükümlere yer verildiği, dava konusu olayda ise, avukat tarafından temsil edilmiş olmasına karşın davanın kabulü yolundaki Mahkeme kararında, davacı lehine vekalet ücreti takdir edilmediği görüldüğünden, Avukatlık Asgari Ücret Tarifesine göre davacı lehine vekalet ücreti takdir edilmesi gerektiğinden Mahkemece bu hususta hüküm verilmemesinde hukuka uygunluk bulunmadığı ileri sürülerek Danıştay Başsavcısı tarafından kanun yararına bozulması istenmiştir.</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b/>
          <w:bCs/>
          <w:sz w:val="20"/>
          <w:szCs w:val="20"/>
        </w:rPr>
        <w:t>TÜRK MİLLETİ ADINA</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sz w:val="20"/>
          <w:szCs w:val="20"/>
        </w:rPr>
        <w:t xml:space="preserve">Hüküm veren Danıştay Üçüncü Dairesince Danıştay Başsavcısı tarafından kanun yararına temyiz edilen İzmir 3. Vergi Mahkemesinin 28.12.2009 gün ve E:2009/1232, K:2009/1942 sayılı kararı incelendikten ve Tetkik </w:t>
      </w:r>
      <w:proofErr w:type="gramStart"/>
      <w:r w:rsidRPr="005D3845">
        <w:rPr>
          <w:sz w:val="20"/>
          <w:szCs w:val="20"/>
        </w:rPr>
        <w:t>Hakimi</w:t>
      </w:r>
      <w:proofErr w:type="gramEnd"/>
      <w:r w:rsidRPr="005D3845">
        <w:rPr>
          <w:sz w:val="20"/>
          <w:szCs w:val="20"/>
        </w:rPr>
        <w:t xml:space="preserve"> Ebru Göç’ün açıklamaları dinlenildikten sonra işin gereği görüşülüp düşünüldü:</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proofErr w:type="gramStart"/>
      <w:r w:rsidRPr="005D3845">
        <w:rPr>
          <w:sz w:val="20"/>
          <w:szCs w:val="20"/>
        </w:rPr>
        <w:t>2577 sayılı İdari Yargılama Usulü Kanununun 51’inci maddesinde, Bölge İdare Mahkemesi kararları ile idare ve vergi mahkemelerince ve Danıştay’ca ilk derece mahkemesi olarak verilip temyiz incelemesinden geçmeden kesinleşmiş bulunan kararlardan niteliği bakımından yürürlükteki hukuka aykırı bir sonucu ifade edenlerin ilgili bakanlıkların göstereceği lüzum üzerine veya kendiliğinden Başsavcı tarafından kanun yararına temyiz olunabileceği kurala bağlanmıştır.</w:t>
      </w:r>
      <w:proofErr w:type="gramEnd"/>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sz w:val="20"/>
          <w:szCs w:val="20"/>
        </w:rPr>
        <w:lastRenderedPageBreak/>
        <w:t xml:space="preserve">Öte yandan, aynı Kanunun 31’inci maddesinin göndermede bulunduğu Hukuk Usulü Muhakemeleri Kanununun 423’üncü maddesinin 6’ncı bendinde, </w:t>
      </w:r>
      <w:proofErr w:type="gramStart"/>
      <w:r w:rsidRPr="005D3845">
        <w:rPr>
          <w:sz w:val="20"/>
          <w:szCs w:val="20"/>
        </w:rPr>
        <w:t>vekalet</w:t>
      </w:r>
      <w:proofErr w:type="gramEnd"/>
      <w:r w:rsidRPr="005D3845">
        <w:rPr>
          <w:sz w:val="20"/>
          <w:szCs w:val="20"/>
        </w:rPr>
        <w:t xml:space="preserve"> ücreti yargılama giderleri arasında sayılmış, aynı Kanunun 417’nci maddesinde de yargılama giderlerinin davada haksız çıkan tarafa yükletileceği hükmüne yer verilmiştir. </w:t>
      </w:r>
      <w:proofErr w:type="gramStart"/>
      <w:r w:rsidRPr="005D3845">
        <w:rPr>
          <w:sz w:val="20"/>
          <w:szCs w:val="20"/>
        </w:rPr>
        <w:t>Hukuk Usulü Muhakemeleri Kanununun 423’üncü maddesinde yargılama giderleri arasında sayılan avukatlık ücretinin takdirinde dayanılacak kuralları içeren 1136 sayılı Avukatlık Kanununun 168’inci maddesi ve aynı Yasa uyarınca yürürlüğe konularak, bu davada uygulanması gereken 24.12.2009 günlü ve 27442 sayılı Resmî Gazete’de yayımlanan Avukatlık Asgari Ücret Tarifesinin 1’inci maddesinde; avukatlık ücretinin kanun gereği karşı tarafa yükletilmesi gereken durumlarda, Avukatlık Kanunu ve bu Tarife hükümlerinin uygulanması öngörülmüştür.</w:t>
      </w:r>
      <w:proofErr w:type="gramEnd"/>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r w:rsidRPr="005D3845">
        <w:rPr>
          <w:sz w:val="20"/>
          <w:szCs w:val="20"/>
        </w:rPr>
        <w:t xml:space="preserve">Bu durumda, ortağı olduğu </w:t>
      </w:r>
      <w:proofErr w:type="gramStart"/>
      <w:r w:rsidRPr="005D3845">
        <w:rPr>
          <w:sz w:val="20"/>
          <w:szCs w:val="20"/>
        </w:rPr>
        <w:t>...........</w:t>
      </w:r>
      <w:proofErr w:type="gramEnd"/>
      <w:r w:rsidRPr="005D3845">
        <w:rPr>
          <w:sz w:val="20"/>
          <w:szCs w:val="20"/>
        </w:rPr>
        <w:t xml:space="preserve"> Petrol Gazları İnşaat Turizm Ticaret </w:t>
      </w:r>
      <w:proofErr w:type="spellStart"/>
      <w:r w:rsidRPr="005D3845">
        <w:rPr>
          <w:sz w:val="20"/>
          <w:szCs w:val="20"/>
        </w:rPr>
        <w:t>Limited</w:t>
      </w:r>
      <w:proofErr w:type="spellEnd"/>
      <w:r w:rsidRPr="005D3845">
        <w:rPr>
          <w:sz w:val="20"/>
          <w:szCs w:val="20"/>
        </w:rPr>
        <w:t xml:space="preserve"> Şirketinin vergi borçları nedeniyle davacı adına düzenlenen ödeme emrini iptal eden vergi mahkemesince, davacıyı temsil eden avukat için </w:t>
      </w:r>
      <w:proofErr w:type="gramStart"/>
      <w:r w:rsidRPr="005D3845">
        <w:rPr>
          <w:sz w:val="20"/>
          <w:szCs w:val="20"/>
        </w:rPr>
        <w:t>vekalet</w:t>
      </w:r>
      <w:proofErr w:type="gramEnd"/>
      <w:r w:rsidRPr="005D3845">
        <w:rPr>
          <w:sz w:val="20"/>
          <w:szCs w:val="20"/>
        </w:rPr>
        <w:t xml:space="preserve"> ücretine hükmedilmediği anlaşıldığından, </w:t>
      </w:r>
      <w:proofErr w:type="spellStart"/>
      <w:r w:rsidRPr="005D3845">
        <w:rPr>
          <w:sz w:val="20"/>
          <w:szCs w:val="20"/>
        </w:rPr>
        <w:t>sözkonusu</w:t>
      </w:r>
      <w:proofErr w:type="spellEnd"/>
      <w:r w:rsidRPr="005D3845">
        <w:rPr>
          <w:sz w:val="20"/>
          <w:szCs w:val="20"/>
        </w:rPr>
        <w:t xml:space="preserve"> vergi mahkemesi kararının kanun yararına bozulması gerekmiştir.</w:t>
      </w:r>
    </w:p>
    <w:p w:rsidR="005D3845" w:rsidRPr="005D3845" w:rsidRDefault="005D3845" w:rsidP="005D3845">
      <w:pPr>
        <w:pStyle w:val="NormalWeb"/>
        <w:jc w:val="both"/>
        <w:rPr>
          <w:sz w:val="20"/>
          <w:szCs w:val="20"/>
        </w:rPr>
      </w:pPr>
      <w:r w:rsidRPr="005D3845">
        <w:rPr>
          <w:sz w:val="20"/>
          <w:szCs w:val="20"/>
        </w:rPr>
        <w:t> </w:t>
      </w:r>
    </w:p>
    <w:p w:rsidR="005D3845" w:rsidRPr="005D3845" w:rsidRDefault="005D3845" w:rsidP="005D3845">
      <w:pPr>
        <w:pStyle w:val="NormalWeb"/>
        <w:jc w:val="both"/>
        <w:rPr>
          <w:sz w:val="20"/>
          <w:szCs w:val="20"/>
        </w:rPr>
      </w:pPr>
      <w:proofErr w:type="gramStart"/>
      <w:r w:rsidRPr="005D3845">
        <w:rPr>
          <w:sz w:val="20"/>
          <w:szCs w:val="20"/>
        </w:rPr>
        <w:t>Açıklanan nedenlerle, Danıştay Başsavcısının temyiz isteminin kabulü ile yürürlükteki hukuka aykırı bir sonuç ifade eden İzmir 3. Vergi Mahkemesinin 28.12.2009 gün ve E:2009/1232, K:2009/1942 sayılı kararının, 2577 sayılı İdari Yargılama Usul Kanununun 51’inci maddesi uyarınca kanun yararına ve hükmün hukuki sonuçlarına etkili olmamak üzere bozulmasına, kararın bir örneğinin Maliye Bakanlığı ile Danıştay Başsavcılığına gönderilmesine ve Resmî Gazete’de yayımlanmasına 23.9.2011 gününde oybirliğiyle karar verildi.</w:t>
      </w:r>
      <w:proofErr w:type="gramEnd"/>
    </w:p>
    <w:p w:rsidR="005D3845" w:rsidRPr="005D3845" w:rsidRDefault="005D3845" w:rsidP="005D3845">
      <w:pPr>
        <w:pStyle w:val="NormalWeb"/>
        <w:spacing w:before="0" w:beforeAutospacing="0" w:after="0" w:afterAutospacing="0" w:line="276" w:lineRule="auto"/>
        <w:jc w:val="both"/>
        <w:rPr>
          <w:color w:val="auto"/>
          <w:sz w:val="20"/>
          <w:szCs w:val="20"/>
        </w:rPr>
      </w:pPr>
    </w:p>
    <w:sectPr w:rsidR="005D3845" w:rsidRPr="005D3845"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5F9" w:rsidRDefault="00DC15F9" w:rsidP="003A1052">
      <w:pPr>
        <w:spacing w:after="0" w:line="240" w:lineRule="auto"/>
      </w:pPr>
      <w:r>
        <w:separator/>
      </w:r>
    </w:p>
  </w:endnote>
  <w:endnote w:type="continuationSeparator" w:id="0">
    <w:p w:rsidR="00DC15F9" w:rsidRDefault="00DC15F9"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5F9" w:rsidRDefault="00DC15F9" w:rsidP="003A1052">
      <w:pPr>
        <w:spacing w:after="0" w:line="240" w:lineRule="auto"/>
      </w:pPr>
      <w:r>
        <w:separator/>
      </w:r>
    </w:p>
  </w:footnote>
  <w:footnote w:type="continuationSeparator" w:id="0">
    <w:p w:rsidR="00DC15F9" w:rsidRDefault="00DC15F9"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5DD0"/>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845"/>
    <w:rsid w:val="005D3CD6"/>
    <w:rsid w:val="005E0983"/>
    <w:rsid w:val="005E5275"/>
    <w:rsid w:val="005E68DA"/>
    <w:rsid w:val="005F27DD"/>
    <w:rsid w:val="00605BA2"/>
    <w:rsid w:val="006062A0"/>
    <w:rsid w:val="006077AA"/>
    <w:rsid w:val="0061174E"/>
    <w:rsid w:val="00616D41"/>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6E21"/>
    <w:rsid w:val="008E1E88"/>
    <w:rsid w:val="008E2061"/>
    <w:rsid w:val="008E4DA0"/>
    <w:rsid w:val="008E6DEE"/>
    <w:rsid w:val="008E7DB1"/>
    <w:rsid w:val="008F1ACF"/>
    <w:rsid w:val="008F5931"/>
    <w:rsid w:val="00901E61"/>
    <w:rsid w:val="00902600"/>
    <w:rsid w:val="0090669C"/>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28FE"/>
    <w:rsid w:val="009E542A"/>
    <w:rsid w:val="009E58A2"/>
    <w:rsid w:val="009F6B64"/>
    <w:rsid w:val="00A042C8"/>
    <w:rsid w:val="00A04700"/>
    <w:rsid w:val="00A129DD"/>
    <w:rsid w:val="00A2154C"/>
    <w:rsid w:val="00A2531A"/>
    <w:rsid w:val="00A256DC"/>
    <w:rsid w:val="00A3757F"/>
    <w:rsid w:val="00A4292E"/>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15F9"/>
    <w:rsid w:val="00DC2977"/>
    <w:rsid w:val="00DC29D9"/>
    <w:rsid w:val="00DD29D1"/>
    <w:rsid w:val="00DD5A0B"/>
    <w:rsid w:val="00DE4B95"/>
    <w:rsid w:val="00DE5DFB"/>
    <w:rsid w:val="00DF17A9"/>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50DE8"/>
    <w:rsid w:val="00F55373"/>
    <w:rsid w:val="00F65EB5"/>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625</Words>
  <Characters>3566</Characters>
  <Application>Microsoft Office Word</Application>
  <DocSecurity>0</DocSecurity>
  <Lines>29</Lines>
  <Paragraphs>8</Paragraphs>
  <ScaleCrop>false</ScaleCrop>
  <Company>TURMOB</Company>
  <LinksUpToDate>false</LinksUpToDate>
  <CharactersWithSpaces>4183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359</cp:revision>
  <dcterms:created xsi:type="dcterms:W3CDTF">2011-07-01T05:43:00Z</dcterms:created>
  <dcterms:modified xsi:type="dcterms:W3CDTF">2011-11-28T06:27:00Z</dcterms:modified>
</cp:coreProperties>
</file>