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D56644" w:rsidRDefault="0082533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C66D23"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28154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73A8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25335" w:rsidRDefault="00825335" w:rsidP="0082533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825335">
        <w:rPr>
          <w:rFonts w:ascii="Times New Roman" w:eastAsia="ヒラギノ明朝 Pro W3" w:hAnsi="Times New Roman" w:cs="Times New Roman"/>
          <w:sz w:val="18"/>
          <w:szCs w:val="18"/>
          <w:u w:val="single"/>
        </w:rPr>
        <w:t>Gümrük ve Ticaret Bakanlığından: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825335" w:rsidRPr="00825335" w:rsidRDefault="00825335" w:rsidP="0082533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>4077 SAYILI TÜKETİCİNİN KORUNMASI HAKKINDA KANUNUN 22 NCİ</w:t>
      </w:r>
    </w:p>
    <w:p w:rsidR="00825335" w:rsidRPr="00825335" w:rsidRDefault="00825335" w:rsidP="0082533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>VE TÜKETİCİ SORUNLARI HAKEM HEYETLERİ YÖNETMELİĞİNİN</w:t>
      </w:r>
    </w:p>
    <w:p w:rsidR="00825335" w:rsidRPr="00825335" w:rsidRDefault="00825335" w:rsidP="0082533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>5 İNCİ MADDELERİNDE YER ALAN PARASAL SINIRLARIN</w:t>
      </w:r>
    </w:p>
    <w:p w:rsidR="00825335" w:rsidRPr="00825335" w:rsidRDefault="00825335" w:rsidP="0082533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>ARTTIRILMASINA İLİŞKİN TEBLİĞ</w:t>
      </w:r>
    </w:p>
    <w:p w:rsidR="00825335" w:rsidRPr="00825335" w:rsidRDefault="00825335" w:rsidP="00825335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>(TEBLİĞ NO: TGM-2011/2)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(1) 4077 sayılı Tüketicinin Korunması Hakkında Kanunun 22 </w:t>
      </w:r>
      <w:proofErr w:type="spell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maddesinde belirlenen usule göre Türkiye İstatistik Kurumu tarafından bildirilen Üretici Fiyatları Endeksinde meydana gelen ortalama % 12,58 (</w:t>
      </w:r>
      <w:proofErr w:type="spell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oniki</w:t>
      </w:r>
      <w:proofErr w:type="spell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virgül </w:t>
      </w:r>
      <w:proofErr w:type="spell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ellisekiz</w:t>
      </w:r>
      <w:proofErr w:type="spell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) oranında artış esas alınarak </w:t>
      </w:r>
      <w:proofErr w:type="gram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tarihinden itibaren geçerli olmak üzere;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a) 4077 sayılı Tüketicinin Korunması Hakkında Kanunun 22 </w:t>
      </w:r>
      <w:proofErr w:type="spell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maddesinin beş ve altıncı fıkrasındaki tüketici sorunları hakem heyetlerinin kararlarının bağlayıcı olacağına ilişkin üst veya tüketici mahkemelerinde delil olacağına ilişkin alt parasal sınır 1.161,67 TL,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b) </w:t>
      </w:r>
      <w:proofErr w:type="gram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1/8/2003</w:t>
      </w:r>
      <w:proofErr w:type="gram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tarihli ve 25186 sayılı Resmî Gazete’de yayımlanan Tüketici Sorunları Hakem Heyetleri Yönetmeliğinin 5 inci maddesinin üçüncü fıkrasında, büyükşehir statüsünde bulunan illerde faaliyet gösteren il hakem heyetlerinin uyuşmazlıklara bakmakla görevli ve yetkili olmalarına ilişkin alt parasal sınır 3.032,65 TL,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olarak</w:t>
      </w:r>
      <w:proofErr w:type="gram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tespit edilmiştir.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(1) Bu Tebliğ </w:t>
      </w:r>
      <w:proofErr w:type="gramStart"/>
      <w:r w:rsidRPr="00825335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825335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825335" w:rsidRPr="00825335" w:rsidRDefault="00825335" w:rsidP="0082533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825335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825335">
        <w:rPr>
          <w:rFonts w:ascii="Times New Roman" w:eastAsia="ヒラギノ明朝 Pro W3" w:hAnsi="Times New Roman" w:cs="Times New Roman"/>
          <w:sz w:val="18"/>
          <w:szCs w:val="18"/>
        </w:rPr>
        <w:t>(1) Bu Tebliğ hükümlerini Gümrük ve Ticaret Bakanı yürütür.</w:t>
      </w:r>
    </w:p>
    <w:p w:rsidR="00825335" w:rsidRPr="00825335" w:rsidRDefault="00825335" w:rsidP="008253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825335" w:rsidRDefault="0082533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2533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7169D"/>
    <w:rsid w:val="001D3F8C"/>
    <w:rsid w:val="003F602C"/>
    <w:rsid w:val="00627628"/>
    <w:rsid w:val="00687CF1"/>
    <w:rsid w:val="00825335"/>
    <w:rsid w:val="008A6CF4"/>
    <w:rsid w:val="009036DC"/>
    <w:rsid w:val="009117F9"/>
    <w:rsid w:val="00973A80"/>
    <w:rsid w:val="00B93706"/>
    <w:rsid w:val="00C66D23"/>
    <w:rsid w:val="00CE3FAA"/>
    <w:rsid w:val="00D56644"/>
    <w:rsid w:val="00EB4906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56644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character" w:customStyle="1" w:styleId="Balk1Char">
    <w:name w:val="Başlık 1 Char"/>
    <w:basedOn w:val="VarsaylanParagrafYazTipi"/>
    <w:link w:val="Balk1"/>
    <w:uiPriority w:val="9"/>
    <w:rsid w:val="00D56644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566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56644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D566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D5664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5664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0">
    <w:name w:val="3-Normal Yazı"/>
    <w:rsid w:val="00D5664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D56644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>TURMOB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</cp:revision>
  <dcterms:created xsi:type="dcterms:W3CDTF">2011-12-01T06:40:00Z</dcterms:created>
  <dcterms:modified xsi:type="dcterms:W3CDTF">2011-12-26T06:56:00Z</dcterms:modified>
</cp:coreProperties>
</file>