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D56644" w:rsidRDefault="00825335"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hAnsi="Times New Roman" w:cs="Times New Roman"/>
          <w:b/>
          <w:sz w:val="20"/>
          <w:szCs w:val="20"/>
          <w:u w:val="single"/>
        </w:rPr>
        <w:t>26</w:t>
      </w:r>
      <w:r w:rsidR="00C66D23" w:rsidRPr="00D56644">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28154</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973A80">
        <w:rPr>
          <w:rFonts w:ascii="Times New Roman" w:eastAsia="Times New Roman" w:hAnsi="Times New Roman" w:cs="Times New Roman"/>
          <w:sz w:val="20"/>
          <w:szCs w:val="20"/>
          <w:lang w:eastAsia="tr-TR"/>
        </w:rPr>
        <w:t> </w:t>
      </w:r>
    </w:p>
    <w:p w:rsidR="002A4F4D" w:rsidRDefault="002A4F4D" w:rsidP="002A4F4D">
      <w:pPr>
        <w:pStyle w:val="1-Baslk"/>
        <w:spacing w:line="240" w:lineRule="exact"/>
        <w:ind w:firstLine="566"/>
        <w:rPr>
          <w:rFonts w:hAnsi="Times New Roman"/>
          <w:sz w:val="18"/>
          <w:szCs w:val="18"/>
        </w:rPr>
      </w:pPr>
      <w:r>
        <w:rPr>
          <w:rFonts w:hAnsi="Times New Roman"/>
          <w:sz w:val="18"/>
          <w:szCs w:val="18"/>
        </w:rPr>
        <w:t>Maliye - Çevre ve Şehircilik Bakanlıklarından:</w:t>
      </w:r>
    </w:p>
    <w:p w:rsidR="002A4F4D" w:rsidRDefault="002A4F4D" w:rsidP="002A4F4D">
      <w:pPr>
        <w:pStyle w:val="1-Baslk"/>
        <w:spacing w:line="240" w:lineRule="exact"/>
        <w:ind w:firstLine="566"/>
        <w:rPr>
          <w:rFonts w:hAnsi="Times New Roman"/>
          <w:sz w:val="18"/>
          <w:szCs w:val="18"/>
        </w:rPr>
      </w:pPr>
    </w:p>
    <w:p w:rsidR="002A4F4D" w:rsidRDefault="002A4F4D" w:rsidP="002A4F4D">
      <w:pPr>
        <w:pStyle w:val="2-OrtaBaslk"/>
        <w:spacing w:line="240" w:lineRule="exact"/>
        <w:rPr>
          <w:rFonts w:hAnsi="Times New Roman"/>
          <w:caps/>
          <w:sz w:val="18"/>
          <w:szCs w:val="18"/>
        </w:rPr>
      </w:pPr>
      <w:r>
        <w:rPr>
          <w:rFonts w:hAnsi="Times New Roman"/>
          <w:caps/>
          <w:sz w:val="18"/>
          <w:szCs w:val="18"/>
        </w:rPr>
        <w:t>Emlak Vergisi Kanunu Genel Tebliği</w:t>
      </w:r>
    </w:p>
    <w:p w:rsidR="002A4F4D" w:rsidRDefault="002A4F4D" w:rsidP="002A4F4D">
      <w:pPr>
        <w:pStyle w:val="2-OrtaBaslk"/>
        <w:spacing w:line="240" w:lineRule="exact"/>
        <w:rPr>
          <w:rFonts w:hAnsi="Times New Roman"/>
          <w:caps/>
          <w:sz w:val="18"/>
          <w:szCs w:val="18"/>
        </w:rPr>
      </w:pPr>
      <w:r>
        <w:rPr>
          <w:rFonts w:hAnsi="Times New Roman"/>
          <w:caps/>
          <w:sz w:val="18"/>
          <w:szCs w:val="18"/>
        </w:rPr>
        <w:t>(Seri No: 58)</w:t>
      </w:r>
    </w:p>
    <w:p w:rsidR="002A4F4D" w:rsidRDefault="002A4F4D" w:rsidP="002A4F4D">
      <w:pPr>
        <w:pStyle w:val="3-NormalYaz0"/>
        <w:spacing w:line="240" w:lineRule="exact"/>
        <w:ind w:firstLine="566"/>
        <w:rPr>
          <w:rFonts w:hAnsi="Times New Roman"/>
          <w:sz w:val="18"/>
          <w:szCs w:val="18"/>
        </w:rPr>
      </w:pPr>
      <w:r>
        <w:rPr>
          <w:rFonts w:hAnsi="Times New Roman"/>
          <w:sz w:val="18"/>
          <w:szCs w:val="18"/>
        </w:rPr>
        <w:t>1319 sayılı Emlak Vergisi Kanununun</w:t>
      </w:r>
      <w:r>
        <w:rPr>
          <w:rFonts w:hAnsi="Times New Roman"/>
          <w:position w:val="6"/>
          <w:sz w:val="18"/>
          <w:szCs w:val="18"/>
        </w:rPr>
        <w:t>(1)</w:t>
      </w:r>
      <w:r>
        <w:rPr>
          <w:rFonts w:hAnsi="Times New Roman"/>
          <w:sz w:val="18"/>
          <w:szCs w:val="18"/>
        </w:rPr>
        <w:t xml:space="preserve"> 29 uncu maddesinin birinci fıkrasının (b) bendinde, binalar için vergi değerinin, Maliye ve Bayındırlık ve İskan Bakanlıklarınca müştereken tespit ve ilan edilecek bina metrekare normal inşaat maliyetleri ile aynı maddenin (a) bendinde belirtilen esaslara göre bulunacak arsa veya arsa payı değeri esas alınarak 31 inci madde uyarınca hazırlanmış bulunan tüzük</w:t>
      </w:r>
      <w:r>
        <w:rPr>
          <w:rFonts w:hAnsi="Times New Roman"/>
          <w:position w:val="6"/>
          <w:sz w:val="18"/>
          <w:szCs w:val="18"/>
        </w:rPr>
        <w:t>(2)</w:t>
      </w:r>
      <w:r>
        <w:rPr>
          <w:rFonts w:hAnsi="Times New Roman"/>
          <w:sz w:val="18"/>
          <w:szCs w:val="18"/>
        </w:rPr>
        <w:t xml:space="preserve"> hükümlerinden yararlanmak suretiyle hesaplanan bedel olduğu hükme bağlanmıştır.</w:t>
      </w:r>
    </w:p>
    <w:p w:rsidR="002A4F4D" w:rsidRDefault="002A4F4D" w:rsidP="002A4F4D">
      <w:pPr>
        <w:pStyle w:val="3-NormalYaz0"/>
        <w:spacing w:line="240" w:lineRule="exact"/>
        <w:ind w:firstLine="566"/>
        <w:rPr>
          <w:rFonts w:hAnsi="Times New Roman"/>
          <w:sz w:val="18"/>
          <w:szCs w:val="18"/>
        </w:rPr>
      </w:pPr>
      <w:r>
        <w:rPr>
          <w:rFonts w:hAnsi="Times New Roman"/>
          <w:sz w:val="18"/>
          <w:szCs w:val="18"/>
        </w:rPr>
        <w:t>213 sayılı Vergi Usul Kanununun</w:t>
      </w:r>
      <w:r>
        <w:rPr>
          <w:rFonts w:hAnsi="Times New Roman"/>
          <w:position w:val="6"/>
          <w:sz w:val="18"/>
          <w:szCs w:val="18"/>
        </w:rPr>
        <w:t>(3)</w:t>
      </w:r>
      <w:r>
        <w:rPr>
          <w:rFonts w:hAnsi="Times New Roman"/>
          <w:sz w:val="18"/>
          <w:szCs w:val="18"/>
        </w:rPr>
        <w:t xml:space="preserve"> mükerrer 49 uncu maddesinin (a) fıkrasında, “Maliye ve Bayındırlık ve İskan bakanlıkları 1319 sayılı Emlâk Vergisi Kanununun 29 uncu maddesi hükmü ile aynı Kanunun 31 inci maddesi uyarınca hazırlanan tüzük hükümlerine göre bina metrekare normal inşaat maliyet bedellerini, uygulanacağı yıldan dört ay önce müştereken tespit ve Resmî Gazete ile ilân eder.”, (d) fıkrasında da, “(a) ve (b) fıkralarındaki bina metrekare normal inşaat maliyet bedelleri ile arsalara ve araziye ait asgari ölçüde birim değer tespitlerine ilişkin süreleri gerektiği ölçüde kısaltmaya Maliye Bakanlığı yetkilidir.” hükmü yer almaktadır.</w:t>
      </w:r>
    </w:p>
    <w:p w:rsidR="002A4F4D" w:rsidRDefault="002A4F4D" w:rsidP="002A4F4D">
      <w:pPr>
        <w:pStyle w:val="3-NormalYaz0"/>
        <w:spacing w:line="240" w:lineRule="exact"/>
        <w:ind w:firstLine="566"/>
        <w:rPr>
          <w:rFonts w:hAnsi="Times New Roman"/>
          <w:sz w:val="18"/>
          <w:szCs w:val="18"/>
        </w:rPr>
      </w:pPr>
      <w:r>
        <w:rPr>
          <w:rFonts w:hAnsi="Times New Roman"/>
          <w:sz w:val="18"/>
          <w:szCs w:val="18"/>
        </w:rPr>
        <w:t>Öte yandan, 4/7/2011 tarihli ve 27984 (1. mükerrer) sayılı Resmî Gazete’de yayımlanan 29/6/2011 tarihli ve 644 sayılı Kanun Hükmünde Kararnamenin 37 nci maddesinin (1) numaralı fıkrasında, Bayındırlık ve İskan Bakanlığına yapılan atıfların Çevre ve Şehircilik Bakanlığına yapılmış sayılacağı hüküm altına alınmıştır.</w:t>
      </w:r>
    </w:p>
    <w:p w:rsidR="002A4F4D" w:rsidRDefault="002A4F4D" w:rsidP="002A4F4D">
      <w:pPr>
        <w:pStyle w:val="3-NormalYaz0"/>
        <w:spacing w:line="240" w:lineRule="exact"/>
        <w:ind w:firstLine="566"/>
        <w:rPr>
          <w:rFonts w:hAnsi="Times New Roman"/>
          <w:sz w:val="18"/>
          <w:szCs w:val="18"/>
        </w:rPr>
      </w:pPr>
      <w:r>
        <w:rPr>
          <w:rFonts w:hAnsi="Times New Roman"/>
          <w:sz w:val="18"/>
          <w:szCs w:val="18"/>
        </w:rPr>
        <w:t>Buna göre, “2012 Yılı İçin Binaların Metrekare Normal İnşaat Maliyet Bedellerini Gösterir Cetvel”, 213 sayılı Kanunun mükerrer 49 uncu maddesinin (d) fıkrası hükmünün tespit süresinin kısaltılmasına ilişkin verdiği yetki doğrultusunda Maliye Bakanlığı ile Çevre ve Şehircilik Bakanlığınca müştereken tespit edilmiştir.</w:t>
      </w:r>
    </w:p>
    <w:p w:rsidR="002A4F4D" w:rsidRDefault="002A4F4D" w:rsidP="002A4F4D">
      <w:pPr>
        <w:pStyle w:val="3-NormalYaz0"/>
        <w:spacing w:line="240" w:lineRule="exact"/>
        <w:ind w:firstLine="566"/>
        <w:rPr>
          <w:rFonts w:hAnsi="Times New Roman"/>
          <w:sz w:val="18"/>
          <w:szCs w:val="18"/>
        </w:rPr>
      </w:pPr>
      <w:r>
        <w:rPr>
          <w:rFonts w:hAnsi="Times New Roman"/>
          <w:sz w:val="18"/>
          <w:szCs w:val="18"/>
        </w:rPr>
        <w:t>Bu itibarla, tespit olunan “2012 Yılı İçin Binaların Metrekare Normal İnşaat Maliyet Bedellerini Gösterir Cetvel” bu Tebliğ ekinde yer almaktadır.</w:t>
      </w:r>
    </w:p>
    <w:p w:rsidR="002A4F4D" w:rsidRDefault="002A4F4D" w:rsidP="002A4F4D">
      <w:pPr>
        <w:pStyle w:val="3-NormalYaz0"/>
        <w:spacing w:line="240" w:lineRule="exact"/>
        <w:ind w:firstLine="566"/>
        <w:rPr>
          <w:rFonts w:hAnsi="Times New Roman"/>
          <w:sz w:val="18"/>
          <w:szCs w:val="18"/>
        </w:rPr>
      </w:pPr>
      <w:r>
        <w:rPr>
          <w:rFonts w:hAnsi="Times New Roman"/>
          <w:sz w:val="18"/>
          <w:szCs w:val="18"/>
        </w:rPr>
        <w:t>Tebliğ olunur.</w:t>
      </w:r>
    </w:p>
    <w:p w:rsidR="002A4F4D" w:rsidRDefault="002A4F4D" w:rsidP="002A4F4D">
      <w:pPr>
        <w:pStyle w:val="3-NormalYaz0"/>
        <w:spacing w:line="240" w:lineRule="exact"/>
        <w:rPr>
          <w:rFonts w:hAnsi="Times New Roman"/>
          <w:sz w:val="18"/>
          <w:szCs w:val="18"/>
        </w:rPr>
      </w:pPr>
      <w:r>
        <w:rPr>
          <w:rFonts w:hAnsi="Times New Roman"/>
          <w:sz w:val="18"/>
          <w:szCs w:val="18"/>
        </w:rPr>
        <w:t>———————————</w:t>
      </w:r>
    </w:p>
    <w:p w:rsidR="002A4F4D" w:rsidRDefault="002A4F4D" w:rsidP="002A4F4D">
      <w:pPr>
        <w:pStyle w:val="3-NormalYaz0"/>
        <w:spacing w:line="240" w:lineRule="exact"/>
        <w:rPr>
          <w:rFonts w:hAnsi="Times New Roman"/>
          <w:sz w:val="18"/>
          <w:szCs w:val="18"/>
        </w:rPr>
      </w:pPr>
      <w:r>
        <w:rPr>
          <w:rFonts w:hAnsi="Times New Roman"/>
          <w:position w:val="5"/>
          <w:sz w:val="18"/>
          <w:szCs w:val="18"/>
        </w:rPr>
        <w:t>(1)</w:t>
      </w:r>
      <w:r>
        <w:rPr>
          <w:rFonts w:hAnsi="Times New Roman"/>
          <w:sz w:val="18"/>
          <w:szCs w:val="18"/>
        </w:rPr>
        <w:t xml:space="preserve"> 11/8/1970 tarihli ve 13576 sayılı Resmî Gazete’de yayımlanmıştır.</w:t>
      </w:r>
    </w:p>
    <w:p w:rsidR="002A4F4D" w:rsidRDefault="002A4F4D" w:rsidP="002A4F4D">
      <w:pPr>
        <w:pStyle w:val="3-NormalYaz0"/>
        <w:spacing w:line="240" w:lineRule="exact"/>
        <w:rPr>
          <w:rFonts w:hAnsi="Times New Roman"/>
          <w:sz w:val="18"/>
          <w:szCs w:val="18"/>
        </w:rPr>
      </w:pPr>
      <w:r>
        <w:rPr>
          <w:rFonts w:hAnsi="Times New Roman"/>
          <w:position w:val="5"/>
          <w:sz w:val="18"/>
          <w:szCs w:val="18"/>
        </w:rPr>
        <w:t>(2)</w:t>
      </w:r>
      <w:r>
        <w:rPr>
          <w:rFonts w:hAnsi="Times New Roman"/>
          <w:sz w:val="18"/>
          <w:szCs w:val="18"/>
        </w:rPr>
        <w:t xml:space="preserve"> 15/3/1972 tarihli ve 14129 sayılı Resmî Gazete’de yayımlanmıştır.</w:t>
      </w:r>
    </w:p>
    <w:p w:rsidR="002A4F4D" w:rsidRDefault="002A4F4D" w:rsidP="002A4F4D">
      <w:pPr>
        <w:pStyle w:val="3-NormalYaz0"/>
        <w:spacing w:line="240" w:lineRule="exact"/>
        <w:rPr>
          <w:rFonts w:hAnsi="Times New Roman"/>
          <w:sz w:val="18"/>
          <w:szCs w:val="18"/>
        </w:rPr>
      </w:pPr>
      <w:r>
        <w:rPr>
          <w:rFonts w:hAnsi="Times New Roman"/>
          <w:position w:val="5"/>
          <w:sz w:val="18"/>
          <w:szCs w:val="18"/>
        </w:rPr>
        <w:t>(3)</w:t>
      </w:r>
      <w:r>
        <w:rPr>
          <w:rFonts w:hAnsi="Times New Roman"/>
          <w:sz w:val="18"/>
          <w:szCs w:val="18"/>
        </w:rPr>
        <w:t xml:space="preserve"> 10/1/1961 tarihli ve 10703 sayılı Resmî Gazete’de yayımlanmıştır.</w:t>
      </w:r>
    </w:p>
    <w:p w:rsidR="002A4F4D" w:rsidRDefault="002A4F4D" w:rsidP="002A4F4D">
      <w:pPr>
        <w:pStyle w:val="3-NormalYaz0"/>
        <w:spacing w:line="240" w:lineRule="exact"/>
        <w:jc w:val="center"/>
        <w:rPr>
          <w:rFonts w:hAnsi="Times New Roman"/>
          <w:sz w:val="18"/>
          <w:szCs w:val="18"/>
        </w:rPr>
      </w:pPr>
    </w:p>
    <w:p w:rsidR="002A4F4D" w:rsidRDefault="002A4F4D" w:rsidP="00C66D23">
      <w:pPr>
        <w:spacing w:after="0" w:line="240" w:lineRule="atLeast"/>
        <w:jc w:val="both"/>
        <w:rPr>
          <w:rFonts w:ascii="Times New Roman" w:eastAsia="Times New Roman" w:hAnsi="Times New Roman" w:cs="Times New Roman"/>
          <w:sz w:val="20"/>
          <w:szCs w:val="20"/>
          <w:lang w:eastAsia="tr-TR"/>
        </w:rPr>
      </w:pPr>
    </w:p>
    <w:sectPr w:rsidR="002A4F4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258E"/>
    <w:rsid w:val="00063C99"/>
    <w:rsid w:val="0007169D"/>
    <w:rsid w:val="000B1C18"/>
    <w:rsid w:val="00110E20"/>
    <w:rsid w:val="00134BA5"/>
    <w:rsid w:val="001D3F8C"/>
    <w:rsid w:val="002A4F4D"/>
    <w:rsid w:val="002E07C9"/>
    <w:rsid w:val="003F602C"/>
    <w:rsid w:val="00457CBC"/>
    <w:rsid w:val="00553945"/>
    <w:rsid w:val="00627628"/>
    <w:rsid w:val="00687CF1"/>
    <w:rsid w:val="00723C85"/>
    <w:rsid w:val="00733119"/>
    <w:rsid w:val="00825335"/>
    <w:rsid w:val="00891D5F"/>
    <w:rsid w:val="008A6CF4"/>
    <w:rsid w:val="009036DC"/>
    <w:rsid w:val="009117F9"/>
    <w:rsid w:val="00967618"/>
    <w:rsid w:val="00973A80"/>
    <w:rsid w:val="00974B04"/>
    <w:rsid w:val="00A12103"/>
    <w:rsid w:val="00B93706"/>
    <w:rsid w:val="00C66D23"/>
    <w:rsid w:val="00CE3FAA"/>
    <w:rsid w:val="00D32082"/>
    <w:rsid w:val="00D56644"/>
    <w:rsid w:val="00E740DA"/>
    <w:rsid w:val="00EB4906"/>
    <w:rsid w:val="00F6505A"/>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56644"/>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110E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character" w:customStyle="1" w:styleId="Balk1Char">
    <w:name w:val="Başlık 1 Char"/>
    <w:basedOn w:val="VarsaylanParagrafYazTipi"/>
    <w:link w:val="Balk1"/>
    <w:uiPriority w:val="9"/>
    <w:rsid w:val="00D56644"/>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D566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D56644"/>
    <w:rPr>
      <w:rFonts w:ascii="Tahoma" w:eastAsia="Times New Roman" w:hAnsi="Tahoma" w:cs="Times New Roman"/>
      <w:szCs w:val="20"/>
      <w:lang w:eastAsia="tr-TR"/>
    </w:rPr>
  </w:style>
  <w:style w:type="paragraph" w:customStyle="1" w:styleId="msoplantext">
    <w:name w:val="msoplaıntext"/>
    <w:basedOn w:val="Normal"/>
    <w:rsid w:val="00D56644"/>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D5664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56644"/>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D5664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56644"/>
    <w:rPr>
      <w:rFonts w:ascii="Times New Roman" w:eastAsia="Times New Roman" w:hAnsi="Times New Roman" w:cs="Times New Roman" w:hint="default"/>
      <w:noProof w:val="0"/>
      <w:sz w:val="24"/>
      <w:lang w:val="en-GB"/>
    </w:rPr>
  </w:style>
  <w:style w:type="character" w:styleId="Gl">
    <w:name w:val="Strong"/>
    <w:basedOn w:val="VarsaylanParagrafYazTipi"/>
    <w:uiPriority w:val="22"/>
    <w:qFormat/>
    <w:rsid w:val="002E07C9"/>
    <w:rPr>
      <w:b/>
      <w:bCs/>
    </w:rPr>
  </w:style>
  <w:style w:type="character" w:customStyle="1" w:styleId="Balk2Char">
    <w:name w:val="Başlık 2 Char"/>
    <w:basedOn w:val="VarsaylanParagrafYazTipi"/>
    <w:link w:val="Balk2"/>
    <w:uiPriority w:val="9"/>
    <w:semiHidden/>
    <w:rsid w:val="00110E20"/>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rsid w:val="00110E20"/>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tr-TR"/>
    </w:rPr>
  </w:style>
  <w:style w:type="character" w:customStyle="1" w:styleId="stbilgiChar">
    <w:name w:val="Üstbilgi Char"/>
    <w:basedOn w:val="VarsaylanParagrafYazTipi"/>
    <w:link w:val="stbilgi"/>
    <w:rsid w:val="00110E20"/>
    <w:rPr>
      <w:rFonts w:ascii="Times New Roman" w:eastAsia="Times New Roman" w:hAnsi="Times New Roman" w:cs="Times New Roman"/>
      <w:sz w:val="28"/>
      <w:szCs w:val="20"/>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341</Words>
  <Characters>1949</Characters>
  <Application>Microsoft Office Word</Application>
  <DocSecurity>0</DocSecurity>
  <Lines>16</Lines>
  <Paragraphs>4</Paragraphs>
  <ScaleCrop>false</ScaleCrop>
  <Company>TURMOB</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cp:revision>
  <cp:lastPrinted>2011-12-26T07:02:00Z</cp:lastPrinted>
  <dcterms:created xsi:type="dcterms:W3CDTF">2011-12-01T06:40:00Z</dcterms:created>
  <dcterms:modified xsi:type="dcterms:W3CDTF">2011-12-26T07:05:00Z</dcterms:modified>
</cp:coreProperties>
</file>