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A74E8A" w:rsidRDefault="00CC04AD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30 </w:t>
      </w:r>
      <w:r w:rsidR="00C66D23"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Ar</w:t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  S</w:t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2815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8 (3. Mükerrer)</w:t>
      </w:r>
    </w:p>
    <w:p w:rsidR="003E24F2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74E8A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3D11AA" w:rsidRDefault="003D11AA" w:rsidP="003D11AA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3D11AA" w:rsidRDefault="003D11AA" w:rsidP="003D11AA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VERG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DENET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 KURULU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RME</w:t>
      </w:r>
    </w:p>
    <w:p w:rsidR="003D11AA" w:rsidRDefault="003D11AA" w:rsidP="003D11AA">
      <w:pPr>
        <w:pStyle w:val="2-OrtaBaslk"/>
        <w:spacing w:after="311" w:line="240" w:lineRule="exact"/>
        <w:rPr>
          <w:sz w:val="18"/>
          <w:szCs w:val="18"/>
        </w:rPr>
      </w:pPr>
      <w:r>
        <w:rPr>
          <w:sz w:val="18"/>
          <w:szCs w:val="18"/>
        </w:rPr>
        <w:t>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STEM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</w:p>
    <w:p w:rsidR="003D11AA" w:rsidRDefault="003D11AA" w:rsidP="003D11AA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3D11AA" w:rsidRDefault="003D11AA" w:rsidP="003D11AA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ve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mesleki yeterlik ve yetkinliklerinin objektif, nesnel ve mukayeseli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Sisteminin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Vergi Denetim Kurulunda fiilen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ile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13/12/1983</w:t>
      </w:r>
      <w:proofErr w:type="gramEnd"/>
      <w:r>
        <w:rPr>
          <w:sz w:val="18"/>
          <w:szCs w:val="18"/>
        </w:rPr>
        <w:t xml:space="preserve"> tarihli ve 178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Kararnamenin ek 29 uncu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Bakan: 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kan: Vergi Denetim Kurulu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Vergi Denetim Kurulu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erleyici: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Sisteminde puan vermeye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Fiilen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resi: Kurulda,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kadrolar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cretsiz izin ve yurtd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lisans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reyi,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bulunan yerlerdeki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: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yerlerde Bakan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kurulan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nceleme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i: </w:t>
      </w:r>
      <w:proofErr w:type="gramStart"/>
      <w:r>
        <w:rPr>
          <w:sz w:val="18"/>
          <w:szCs w:val="18"/>
        </w:rPr>
        <w:t>31/10/2011</w:t>
      </w:r>
      <w:proofErr w:type="gramEnd"/>
      <w:r>
        <w:rPr>
          <w:sz w:val="18"/>
          <w:szCs w:val="18"/>
        </w:rPr>
        <w:t xml:space="preserve"> tarihli ve 28101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Vergi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ncelemelerinde Uyulacak Usul ve Esaslar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Kurul: Vergi Denetim Kurulunu,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Kurul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i: </w:t>
      </w:r>
      <w:proofErr w:type="gramStart"/>
      <w:r>
        <w:rPr>
          <w:sz w:val="18"/>
          <w:szCs w:val="18"/>
        </w:rPr>
        <w:t>31/10/2011</w:t>
      </w:r>
      <w:proofErr w:type="gramEnd"/>
      <w:r>
        <w:rPr>
          <w:sz w:val="18"/>
          <w:szCs w:val="18"/>
        </w:rPr>
        <w:t xml:space="preserve"> tarihli ve 28101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Vergi Denetim Kurulu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i: Vergi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ile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lerini,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3D11AA" w:rsidRDefault="003D11AA" w:rsidP="003D11AA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3D11AA" w:rsidRDefault="003D11AA" w:rsidP="003D11AA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Sistemi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Performans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erlendirmesi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Sistemi,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ve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 elde ettikleri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derecesini,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performanslar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erlendirmelerini,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zenledikleri vergi inceleme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rapor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erlendirmeleri,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zenledikleri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inceleme,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, denetim ve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erlendirmeleri, lisans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zeyleri ile benzeri </w:t>
      </w:r>
      <w:proofErr w:type="gramStart"/>
      <w:r>
        <w:rPr>
          <w:sz w:val="18"/>
          <w:szCs w:val="18"/>
        </w:rPr>
        <w:t>kriterleri</w:t>
      </w:r>
      <w:proofErr w:type="gramEnd"/>
      <w:r>
        <w:rPr>
          <w:sz w:val="18"/>
          <w:szCs w:val="18"/>
        </w:rPr>
        <w:t xml:space="preserve"> esas alarak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sistemdir.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Performans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resi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performanslar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erlendirilmesinde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ilgili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en az 90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90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fiilen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izin ve raporlu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nemi,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 bir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 Ancak, Kurul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29 uncu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yetki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olamayan veya yetki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rs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olarak girmeyen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Performans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çü</w:t>
      </w:r>
      <w:r>
        <w:rPr>
          <w:b/>
          <w:sz w:val="18"/>
          <w:szCs w:val="18"/>
        </w:rPr>
        <w:t>lmesi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ve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performanslar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lmesi EK:1 ve EK:2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formlarla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3D11AA" w:rsidRDefault="003D11AA" w:rsidP="003D11AA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lastRenderedPageBreak/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Derecelerine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navlardaki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derecelerinin kullan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 amac</w:t>
      </w:r>
      <w:r>
        <w:rPr>
          <w:b/>
          <w:sz w:val="18"/>
          <w:szCs w:val="18"/>
        </w:rPr>
        <w:t>ı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 tabi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veya temel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itim, yetki ve yeterlik ile hizmet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elde edecekleri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derecelerinin,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 notu veya temel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 seminer notunun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erlendirilmesi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derecesine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erlendirmesinde,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notu veya temel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seminer notunun %15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Hizmet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nav notlar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erlendirilmesi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yetki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ncesinde veya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itimlerde tabi tutulduklar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100 tam puan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not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 Bu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navlardan elde edilen notlar,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belirlenecek oranda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erlendirilerek,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hizmet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notunu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Hizmet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notunun %10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derecesine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Refakat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 notlar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erlendirilmesi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lerinin, refakatlerinde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 belgelerinde yer alan </w:t>
      </w:r>
      <w:proofErr w:type="gramStart"/>
      <w:r>
        <w:rPr>
          <w:sz w:val="18"/>
          <w:szCs w:val="18"/>
        </w:rPr>
        <w:t>kriterlere</w:t>
      </w:r>
      <w:proofErr w:type="gram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100 tam puan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verdikleri notlar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aritmetik ortalamas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refakat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notunu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Refakat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notunun %10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derecesine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Yetki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nav notunun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erlendirilmesi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lk yetki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notun %65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i, ikinci yetki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ise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notun %45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derecesine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Kurul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29 uncu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yetki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olamayan veya yetki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rs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olarak girmeyen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Vergi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fetti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Yard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navlardaki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derecelerine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 performans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erlendirmesinin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derecesine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erlendirmesinde, EK:3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form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9, 10, 11 ve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maddelerde yer alan oranlara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notu veya temel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seminer notu, hizmet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notu, refakat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notu ve yetki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notunun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suretiyle hesaplanan not,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derecesini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derecesini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notun %50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genel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EK:2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forma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Vergi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fetti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lerinin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navlardaki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derecelerine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 performans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erlendirmesinin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yeterlik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yeterlik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notu,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derecesini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yeterlik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notun; yeterlik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nav tarihinden itibaren 1 ila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%10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u, 8 ila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%5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genel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EK:1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forma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3D11AA" w:rsidRDefault="003D11AA" w:rsidP="003D11AA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Performanslar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Grup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yapaca</w:t>
      </w:r>
      <w:r>
        <w:rPr>
          <w:b/>
          <w:sz w:val="18"/>
          <w:szCs w:val="18"/>
        </w:rPr>
        <w:t>ğı</w:t>
      </w:r>
      <w:r>
        <w:rPr>
          <w:b/>
          <w:sz w:val="18"/>
          <w:szCs w:val="18"/>
        </w:rPr>
        <w:t xml:space="preserve">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erlendirmelerin kullan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 amac</w:t>
      </w:r>
      <w:r>
        <w:rPr>
          <w:b/>
          <w:sz w:val="18"/>
          <w:szCs w:val="18"/>
        </w:rPr>
        <w:t>ı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kendilerine verilen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yerine getirirken mesle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sorumluluk bilinciyle hareket edip etmedikleri,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arkada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evresiyle uyumlu olup olmad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hususlara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eksikliklerinin giderilmesine ve yeteneklerinin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tirilmesine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erlendirmelerin,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Grup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erlendirme </w:t>
      </w:r>
      <w:proofErr w:type="gramStart"/>
      <w:r>
        <w:rPr>
          <w:b/>
          <w:sz w:val="18"/>
          <w:szCs w:val="18"/>
        </w:rPr>
        <w:t>kriterleri</w:t>
      </w:r>
      <w:proofErr w:type="gramEnd"/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yaparken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kriterleri</w:t>
      </w:r>
      <w:proofErr w:type="gramEnd"/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rlar: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Verilen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tamamlama.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Verilen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organize etme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edebilme.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imler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 ve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evesinde,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 ve net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ifade edebilme.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kurma becerisi.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Ekip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kradaki </w:t>
      </w:r>
      <w:proofErr w:type="gramStart"/>
      <w:r>
        <w:rPr>
          <w:sz w:val="18"/>
          <w:szCs w:val="18"/>
        </w:rPr>
        <w:t>kriterlerin</w:t>
      </w:r>
      <w:proofErr w:type="gramEnd"/>
      <w:r>
        <w:rPr>
          <w:sz w:val="18"/>
          <w:szCs w:val="18"/>
        </w:rPr>
        <w:t xml:space="preserve"> her biri,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100 tam puan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 Verilen notlar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aritmetik ortalamas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performanslar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turur.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erlendirmeler, EK:4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yer alan form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 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erlendirmesinin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takip eden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Ocak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sonuna kadar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hesaplanan notun %10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u,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genel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EK:1 ve EK:2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formlara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Bir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grup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hallerde,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erlendirmesinin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bitmesi beklenmeksizin grup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tarihten itibaren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Bir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revinin son bulmas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gerekli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erlendirmelerinin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ilgili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kan,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erlendirmeleri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3D11AA" w:rsidRDefault="003D11AA" w:rsidP="003D11AA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erlendirilmede kullan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 amac</w:t>
      </w:r>
      <w:r>
        <w:rPr>
          <w:b/>
          <w:sz w:val="18"/>
          <w:szCs w:val="18"/>
        </w:rPr>
        <w:t>ı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kendilerine verilen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yerine getirmedeki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verimliliklerinin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lmesi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Rapor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 komisyonlar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erlendirmesine tabi raporlar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erlendirilmesi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ve rapor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erlendirmesine tabi olan raporlar, bu komisyonlarca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kriterlere</w:t>
      </w:r>
      <w:proofErr w:type="gram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erlendirilir: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Raporun konusuna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kapsaml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Raporun iktisadi, teknik ve hukuki icaplara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Konunun anlat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Raporda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lenen konunun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Rapor dilinin sade, ifadelerin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ve net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Raporun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rapora harcanan mesai.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Raporun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imla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Rapor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krada belirlenen </w:t>
      </w:r>
      <w:proofErr w:type="gramStart"/>
      <w:r>
        <w:rPr>
          <w:sz w:val="18"/>
          <w:szCs w:val="18"/>
        </w:rPr>
        <w:t>kriterlere</w:t>
      </w:r>
      <w:proofErr w:type="gram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100 tam puan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zerinden, her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Rapor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erlendirmeleri, takip eden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15 inci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mesai saati bitimine kadar cetveller halinde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nderirler.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rapor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gelen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erlendirmeleri, EK:5A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 yer alan forma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Bir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birden fazla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bitirilmesi halinde her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verilen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aritmetik ortalamas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rapor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verilen performans puan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Yetkili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nemlerinin sonuna kadar bitirdikleri her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rapor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verilen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aritmetik ortalamas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rapor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verilen performans puan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raporlar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erlendirilmesi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 yetkili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ve rapor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erlendirmesine tabi olmayan raporlar, her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18 inci maddede yer alan </w:t>
      </w:r>
      <w:proofErr w:type="gramStart"/>
      <w:r>
        <w:rPr>
          <w:sz w:val="18"/>
          <w:szCs w:val="18"/>
        </w:rPr>
        <w:t>kriterlere</w:t>
      </w:r>
      <w:proofErr w:type="gram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100 tam puan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bu yetkisini, ilgili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veya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acak bir komisyona devredebilir.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erlendirmeleri EK:5A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 yer alan forma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puanland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 yetkili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nceleme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bendinde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 nezdinde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incelemelerinde, bitirdikleri her tam inceleme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20,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inceleme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10 puan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 Bu kapsamda,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ortalama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tam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incelemelerinin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inceleme yapanlar, ortalamay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her tam inceleme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ilave 10,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inceleme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ilave 5 puan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lave puan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nabilmesi, ilgili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sona ermesine ve o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hesaplamalar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 yetkili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nceleme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(f) bendinde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 nezdinde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incelemelerinde, bitirdikleri her tam inceleme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4,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inceleme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2 puan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 Bu kapsamda,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ortalama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tam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incelemelerinin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inceleme yapanlar, ortalamay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her tam inceleme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ilave 2,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inceleme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ilave 1 puan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lave puan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nabilmesi, ilgili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sona ermesine ve o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hesaplamalar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Birinci ve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kralarda belirtilen,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ortalama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vergi incelemelerinin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inceleme yapanlar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ilave puan,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uygulanmaz.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lastRenderedPageBreak/>
        <w:t>(4)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veya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olunan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nca,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veya yetkili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verilen, ancak rapor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komisyonunun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erlendirmesine tabi olmayan raporlara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lerde,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 yetkili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bitirdikleri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turma,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inceleme,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denetim,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 ile benzeri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lerden 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ar puan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rlar. </w:t>
      </w:r>
      <w:proofErr w:type="gramEnd"/>
      <w:r>
        <w:rPr>
          <w:sz w:val="18"/>
          <w:szCs w:val="18"/>
        </w:rPr>
        <w:t>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ise ilgili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i, getirilen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nerinin idareye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gibi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erlendirerek, 0 ile 5 puan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bir puan verebilir.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Mali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Kurulu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gelen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ile mahkemeler veya savc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istenen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lerin, birinci ila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girmemesi halinde,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bitiminde her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10 puan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Tarhiyat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 uzla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revlendirilenler, her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0,25 puan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her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na;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nav komisyonunda yer alanlar 10,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komisyonunda yer alanlar 5, yetki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komisyonunda yer alanlar 5 ve yeterlik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komisyonunda yer alanlar 12 puan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(8)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itim, temel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hizmet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revlendirmesi ile ders verenler, ders saati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0,25 puan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(9) Konferans, seminer, panel, </w:t>
      </w:r>
      <w:proofErr w:type="gramStart"/>
      <w:r>
        <w:rPr>
          <w:sz w:val="18"/>
          <w:szCs w:val="18"/>
        </w:rPr>
        <w:t>sempozyum</w:t>
      </w:r>
      <w:proofErr w:type="gramEnd"/>
      <w:r>
        <w:rPr>
          <w:sz w:val="18"/>
          <w:szCs w:val="18"/>
        </w:rPr>
        <w:t>,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malara,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izni ile konu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netici olarak </w:t>
      </w:r>
      <w:proofErr w:type="spellStart"/>
      <w:r>
        <w:rPr>
          <w:sz w:val="18"/>
          <w:szCs w:val="18"/>
        </w:rPr>
        <w:t>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durumunda, her bir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2 puan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ancak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yer alan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lmayan kanun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rapor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 komisyonu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gibi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konularda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revlendirmeler ile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emrindeki her nevi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revlendirmelerde, her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10 puandan fazla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puan verilir.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kan,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ise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verilecek puanlar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bir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100 puan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amaz.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(11) Bu maddede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olmayan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malar, nitelik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en uygun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puanlamas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tabi olur.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(12) Bu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elde edilecek puanlar, EK:5B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yer alan form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erlendirilmesi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MADDE 21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18 ve 19 uncu maddelere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verilen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ortalamas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%20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si ile 20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maddede belirtilen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elde edilen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ve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notlar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turur ve EK:5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yer alan form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</w:t>
      </w:r>
      <w:proofErr w:type="gramEnd"/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notunun 100 puan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ilgili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 Ancak, 100 puandan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u, bir sonraki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notunun 100 puan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suretle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atand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notlar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 yeterlik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nav tarihinden itibaren 1 ila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%80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i, 8 ila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%85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i,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llarda ise %90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 xml:space="preserve"> EK:1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forma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notlar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%40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 xml:space="preserve"> EK:2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forma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ALTINCI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3D11AA" w:rsidRDefault="003D11AA" w:rsidP="003D11AA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Akademik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Akademik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erlendirmede kullan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 amac</w:t>
      </w:r>
      <w:r>
        <w:rPr>
          <w:b/>
          <w:sz w:val="18"/>
          <w:szCs w:val="18"/>
        </w:rPr>
        <w:t>ı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konularda kendilerini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tirmeleri maksad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kitap ve makale yazmalar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lisans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doktora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bitirmeleri,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 mahiyetinde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Akademik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erlendirilmesi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konularla ilgili olarak hakemli dergilerde hakem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erlendirmesine tabi tutularak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ile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kitaplar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ile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kitaplar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birer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 Bu kapsamda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lerine ve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yazd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her makale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10, kitap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50 puan verilir.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nca, bitirilen lisans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ile doktora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bitirme belgelerinin birer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 Bu kapsamda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lerine ve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bitirdikleri her tezli lisans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50, tezsiz lisans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25, doktora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100 puan verilir.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lisans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doktora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elde edilen puanlar,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en fazla on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lastRenderedPageBreak/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ile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kitaplar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elde edilen puanlar ise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bulunulan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en fazla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elde edilen puanlar,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neminin sonunda topluca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ile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kitaplar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elde edilen puanlar,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atand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veya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boyunca elde edilen puanlar, EK: 6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 yer alan formda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 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100 puan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toplanan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%2,5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genel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erlendirmesinde elde edilen puana eklenmek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EK: 1 ve EK: 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formlara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elde edilen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eklenmesi sonucunda genel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puan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100 puan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3D11AA" w:rsidRDefault="003D11AA" w:rsidP="003D11AA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YED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3D11AA" w:rsidRDefault="003D11AA" w:rsidP="003D11AA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say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 puan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hesaplanmas</w:t>
      </w:r>
      <w:r>
        <w:rPr>
          <w:b/>
          <w:sz w:val="18"/>
          <w:szCs w:val="18"/>
        </w:rPr>
        <w:t>ı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veya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genel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100 tam puan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en az 70 puan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aritmetik ortalamas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elde edilen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ldan az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relerde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365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 oranlanmas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suretiyle bulunan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tam olarak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lan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178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Kararnamenin ek 29 uncu maddesinin yedinci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%5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puan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aritmetik ortalamas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tespit edilir.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Bir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90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daha az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elde edilen puanlar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ortalama puan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Kurul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29 uncu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yetki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olamayan veya yetki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rs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olarak girmeyen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genel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en az 70 puan almalar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ndan,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nemlerinin bitmesi beklenmeksizin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erlendirmelerin 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erli say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lmayaca</w:t>
      </w:r>
      <w:r>
        <w:rPr>
          <w:b/>
          <w:sz w:val="18"/>
          <w:szCs w:val="18"/>
        </w:rPr>
        <w:t>ğı</w:t>
      </w:r>
      <w:r>
        <w:rPr>
          <w:b/>
          <w:sz w:val="18"/>
          <w:szCs w:val="18"/>
        </w:rPr>
        <w:t xml:space="preserve"> haller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Re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sen</w:t>
      </w:r>
      <w:proofErr w:type="spellEnd"/>
      <w:r>
        <w:rPr>
          <w:sz w:val="18"/>
          <w:szCs w:val="18"/>
        </w:rPr>
        <w:t xml:space="preserve"> veya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itirazlar neticesinde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veya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inceleme sonucunda garez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maksatla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erleyicinin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yok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larak, ilgili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erlendirmesi son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aritmetik ortalamas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erlendirilir.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ldan az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ise son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notunun aritmetik ortalamas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ldan az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ise son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notuna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lehine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ersiz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Garez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maksatla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formlar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doldurduklar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erleyicilerin cezai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SEK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3D11AA" w:rsidRDefault="003D11AA" w:rsidP="003D11AA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sz w:val="18"/>
          <w:szCs w:val="18"/>
        </w:rPr>
        <w:t>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notlar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birimin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her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muhafaza etmekle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revli birim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edindikleri bilgileri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klayamazlar. Bu esaslara uymad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edilenler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657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Devlet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Kanununun disiplin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bir daha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lmazlar.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notlar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ma, evrak ve belgelerin sevkinde ve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formlar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gizlilik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ortamda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yetkilidir.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Performans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 notlar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a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klanmas</w:t>
      </w:r>
      <w:r>
        <w:rPr>
          <w:b/>
          <w:sz w:val="18"/>
          <w:szCs w:val="18"/>
        </w:rPr>
        <w:t>ı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bitiminden itibaren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elektronik ortam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klayabilir.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Performans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 notlar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 itiraz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notlar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notlar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sonucu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itiraz edilebilir. Bir aydan sonra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itirazlar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tirazlar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tiraz edilen konu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itirazlar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erleyicilerden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sorar.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erleyiciler 15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lerini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bildirirler.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gelen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l</w:t>
      </w:r>
      <w:r>
        <w:rPr>
          <w:sz w:val="18"/>
          <w:szCs w:val="18"/>
        </w:rPr>
        <w:t>ü</w:t>
      </w:r>
      <w:r>
        <w:rPr>
          <w:sz w:val="18"/>
          <w:szCs w:val="18"/>
        </w:rPr>
        <w:t>zum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rmez ise 15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l</w:t>
      </w:r>
      <w:r>
        <w:rPr>
          <w:sz w:val="18"/>
          <w:szCs w:val="18"/>
        </w:rPr>
        <w:t>ü</w:t>
      </w:r>
      <w:r>
        <w:rPr>
          <w:sz w:val="18"/>
          <w:szCs w:val="18"/>
        </w:rPr>
        <w:t>zum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rmesi halinde ise inceleme sonucunun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geldi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15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ilgiliye sonucu bildirir.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maddi hatalara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zeltmeleri </w:t>
      </w:r>
      <w:proofErr w:type="spellStart"/>
      <w:r>
        <w:rPr>
          <w:sz w:val="18"/>
          <w:szCs w:val="18"/>
        </w:rPr>
        <w:t>re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sen</w:t>
      </w:r>
      <w:proofErr w:type="spellEnd"/>
      <w:r>
        <w:rPr>
          <w:sz w:val="18"/>
          <w:szCs w:val="18"/>
        </w:rPr>
        <w:t xml:space="preserve"> yapar.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tiraz sonucu verilen kararlar kesindir.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Yetki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abilecek teredd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tlerin giderilmesi ve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belirlenmesinde Bakan yetkilidir.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Bitirilen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ler ve akademik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malar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1/1/2012</w:t>
      </w:r>
      <w:proofErr w:type="gramEnd"/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bitirilen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ler,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makaleler ve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kitaplar gibi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hususlar, lisans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ile doktora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Lisans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st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 dolay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yla yurtd</w:t>
      </w:r>
      <w:r>
        <w:rPr>
          <w:b/>
          <w:sz w:val="18"/>
          <w:szCs w:val="18"/>
        </w:rPr>
        <w:t>ışı</w:t>
      </w:r>
      <w:r>
        <w:rPr>
          <w:b/>
          <w:sz w:val="18"/>
          <w:szCs w:val="18"/>
        </w:rPr>
        <w:t>na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nderilenler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7/7/2011</w:t>
      </w:r>
      <w:proofErr w:type="gramEnd"/>
      <w:r>
        <w:rPr>
          <w:sz w:val="18"/>
          <w:szCs w:val="18"/>
        </w:rPr>
        <w:t xml:space="preserve"> tarihli ve 646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Denetim Kurulu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ve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Kararnamelerde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 ile Vergi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kadrolar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atanm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lisans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yurtd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nderilmeleri durumunda, yurtd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reler, performans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20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maddenin onuncu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proofErr w:type="gramStart"/>
      <w:r>
        <w:rPr>
          <w:sz w:val="18"/>
          <w:szCs w:val="18"/>
        </w:rPr>
        <w:t>1/1/2012</w:t>
      </w:r>
      <w:proofErr w:type="gramEnd"/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3D11AA" w:rsidRDefault="003D11AA" w:rsidP="003D11AA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3D11AA" w:rsidRDefault="003D11AA" w:rsidP="003D11AA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3D11AA" w:rsidRDefault="003D11A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3D11A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086CEC"/>
    <w:rsid w:val="000C76D1"/>
    <w:rsid w:val="000C7FFB"/>
    <w:rsid w:val="00114901"/>
    <w:rsid w:val="0016162A"/>
    <w:rsid w:val="0017427E"/>
    <w:rsid w:val="001743BE"/>
    <w:rsid w:val="00194CA3"/>
    <w:rsid w:val="001D3F8C"/>
    <w:rsid w:val="002039B6"/>
    <w:rsid w:val="002201FD"/>
    <w:rsid w:val="00225B70"/>
    <w:rsid w:val="00266B2E"/>
    <w:rsid w:val="002A4077"/>
    <w:rsid w:val="002C33C3"/>
    <w:rsid w:val="002C4909"/>
    <w:rsid w:val="002F1C9B"/>
    <w:rsid w:val="002F642E"/>
    <w:rsid w:val="0032170A"/>
    <w:rsid w:val="003328CF"/>
    <w:rsid w:val="003C0BDA"/>
    <w:rsid w:val="003C6B5B"/>
    <w:rsid w:val="003D11AA"/>
    <w:rsid w:val="003E1EF7"/>
    <w:rsid w:val="003E24F2"/>
    <w:rsid w:val="003F3B72"/>
    <w:rsid w:val="0042083B"/>
    <w:rsid w:val="004232F2"/>
    <w:rsid w:val="004406C9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27628"/>
    <w:rsid w:val="0065709A"/>
    <w:rsid w:val="00687CF1"/>
    <w:rsid w:val="007022B1"/>
    <w:rsid w:val="007533DA"/>
    <w:rsid w:val="00762DB4"/>
    <w:rsid w:val="007673D4"/>
    <w:rsid w:val="007A1A28"/>
    <w:rsid w:val="007B29B1"/>
    <w:rsid w:val="007C1A5A"/>
    <w:rsid w:val="007E07E4"/>
    <w:rsid w:val="0084367F"/>
    <w:rsid w:val="008A6CF4"/>
    <w:rsid w:val="008B03F2"/>
    <w:rsid w:val="009036DC"/>
    <w:rsid w:val="0090404D"/>
    <w:rsid w:val="009117F9"/>
    <w:rsid w:val="00945163"/>
    <w:rsid w:val="00973A80"/>
    <w:rsid w:val="00A34212"/>
    <w:rsid w:val="00A41744"/>
    <w:rsid w:val="00A74E8A"/>
    <w:rsid w:val="00A916CE"/>
    <w:rsid w:val="00AA3186"/>
    <w:rsid w:val="00B879FA"/>
    <w:rsid w:val="00B93706"/>
    <w:rsid w:val="00C420A0"/>
    <w:rsid w:val="00C66D23"/>
    <w:rsid w:val="00CA0C61"/>
    <w:rsid w:val="00CA44B6"/>
    <w:rsid w:val="00CC04AD"/>
    <w:rsid w:val="00CE3FAA"/>
    <w:rsid w:val="00CE551E"/>
    <w:rsid w:val="00D85BD0"/>
    <w:rsid w:val="00DC7993"/>
    <w:rsid w:val="00E310DF"/>
    <w:rsid w:val="00E315F1"/>
    <w:rsid w:val="00E324F9"/>
    <w:rsid w:val="00EB4906"/>
    <w:rsid w:val="00F017A2"/>
    <w:rsid w:val="00F24BA0"/>
    <w:rsid w:val="00F53F28"/>
    <w:rsid w:val="00F70FE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3760</Words>
  <Characters>21436</Characters>
  <Application>Microsoft Office Word</Application>
  <DocSecurity>0</DocSecurity>
  <Lines>178</Lines>
  <Paragraphs>50</Paragraphs>
  <ScaleCrop>false</ScaleCrop>
  <Company>TURMOB</Company>
  <LinksUpToDate>false</LinksUpToDate>
  <CharactersWithSpaces>25146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95</cp:revision>
  <dcterms:created xsi:type="dcterms:W3CDTF">2011-12-01T06:40:00Z</dcterms:created>
  <dcterms:modified xsi:type="dcterms:W3CDTF">2012-01-02T07:07:00Z</dcterms:modified>
</cp:coreProperties>
</file>