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Default="000641A0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03</w:t>
      </w:r>
      <w:r w:rsidR="00E1189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E1189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</w:t>
      </w:r>
    </w:p>
    <w:p w:rsidR="00E1189A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6230B" w:rsidRDefault="0096230B" w:rsidP="0096230B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tay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96230B" w:rsidRDefault="0096230B" w:rsidP="0096230B">
      <w:pPr>
        <w:pStyle w:val="3-NormalYaz0"/>
        <w:tabs>
          <w:tab w:val="left" w:pos="1910"/>
          <w:tab w:val="left" w:pos="2081"/>
        </w:tabs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Esas  No</w:t>
      </w:r>
      <w:proofErr w:type="gram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  <w:t>:</w:t>
      </w:r>
      <w:r>
        <w:rPr>
          <w:sz w:val="18"/>
          <w:szCs w:val="18"/>
        </w:rPr>
        <w:tab/>
        <w:t>2011/3445</w:t>
      </w:r>
    </w:p>
    <w:p w:rsidR="0096230B" w:rsidRDefault="0096230B" w:rsidP="0096230B">
      <w:pPr>
        <w:pStyle w:val="3-NormalYaz0"/>
        <w:tabs>
          <w:tab w:val="left" w:pos="1910"/>
          <w:tab w:val="left" w:pos="2081"/>
        </w:tabs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Karar No </w:t>
      </w:r>
      <w:r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2011/5067</w:t>
      </w:r>
    </w:p>
    <w:p w:rsidR="0096230B" w:rsidRDefault="0096230B" w:rsidP="0096230B">
      <w:pPr>
        <w:pStyle w:val="3-NormalYaz0"/>
        <w:tabs>
          <w:tab w:val="left" w:pos="1910"/>
          <w:tab w:val="left" w:pos="2081"/>
        </w:tabs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Kanun Yarar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na Temyiz </w:t>
      </w:r>
      <w:proofErr w:type="gramStart"/>
      <w:r>
        <w:rPr>
          <w:b/>
          <w:sz w:val="18"/>
          <w:szCs w:val="18"/>
        </w:rPr>
        <w:t>Eden :</w:t>
      </w:r>
      <w:r>
        <w:rPr>
          <w:sz w:val="18"/>
          <w:szCs w:val="18"/>
        </w:rPr>
        <w:t xml:space="preserve">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</w:t>
      </w:r>
      <w:proofErr w:type="gram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</w:p>
    <w:p w:rsidR="0096230B" w:rsidRDefault="0096230B" w:rsidP="0096230B">
      <w:pPr>
        <w:pStyle w:val="3-NormalYaz0"/>
        <w:tabs>
          <w:tab w:val="left" w:pos="1910"/>
          <w:tab w:val="left" w:pos="2081"/>
        </w:tabs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Davac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ab/>
        <w:t>:</w:t>
      </w:r>
      <w:r>
        <w:rPr>
          <w:sz w:val="18"/>
          <w:szCs w:val="18"/>
        </w:rPr>
        <w:tab/>
        <w:t>Filiz OSKAY-Meydan Mah. 39020 Sokak No:4-Seyhan-ADANA</w:t>
      </w:r>
    </w:p>
    <w:p w:rsidR="0096230B" w:rsidRDefault="0096230B" w:rsidP="0096230B">
      <w:pPr>
        <w:pStyle w:val="3-NormalYaz0"/>
        <w:tabs>
          <w:tab w:val="left" w:pos="1910"/>
          <w:tab w:val="left" w:pos="2081"/>
        </w:tabs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Kar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 xml:space="preserve"> Taraf</w:t>
      </w:r>
      <w:r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Vergi Dairesi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-ADANA</w:t>
      </w:r>
    </w:p>
    <w:p w:rsidR="0096230B" w:rsidRDefault="0096230B" w:rsidP="0096230B">
      <w:pPr>
        <w:pStyle w:val="3-NormalYaz0"/>
        <w:tabs>
          <w:tab w:val="left" w:pos="1910"/>
          <w:tab w:val="left" w:pos="2081"/>
        </w:tabs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stemin 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zeti</w:t>
      </w:r>
      <w:proofErr w:type="gramEnd"/>
      <w:r>
        <w:rPr>
          <w:b/>
          <w:sz w:val="18"/>
          <w:szCs w:val="18"/>
        </w:rPr>
        <w:tab/>
        <w:t>:</w:t>
      </w:r>
      <w:r>
        <w:rPr>
          <w:sz w:val="18"/>
          <w:szCs w:val="18"/>
        </w:rPr>
        <w:tab/>
        <w:t>Davac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tertibatl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binek otomobilinin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yapan firman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faturaya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tmak suretiyle kendisinden tahsil edilip vergi dairesine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vergisinin iadesi istemiyle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reddi yolunda tesis edilen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lan davay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3065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Kanununun 17'nci maddesinin "Di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stisnalar"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4'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5378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32'nci maddesiyle 7.7.2005 tarihinden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eklenen (s) bendi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nca;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itimleri, meslekleri,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olarak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-gere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bilgisayar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vergisinden istisna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kurala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(110) seri </w:t>
      </w:r>
      <w:proofErr w:type="spellStart"/>
      <w:r>
        <w:rPr>
          <w:sz w:val="18"/>
          <w:szCs w:val="18"/>
        </w:rPr>
        <w:t>no'lu</w:t>
      </w:r>
      <w:proofErr w:type="spellEnd"/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de binek otomobili ve nakil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maddede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edilen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-gere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yer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 olayda, davac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tertibatl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3065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Yasada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istisna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esiyle reddeden Adana 2. Vergi Mahkemesinin 8.3.2010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E:2009/1367, K:2010/431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n;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melerini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nlerindeki engelleri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tedbirleri alarak topluma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5378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getirilen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istisna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binek otomobilleri de kapsad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esiyle bozan ve karar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 istemini de reddeden Adana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Mahkemesinin 20.5.2010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E:2010/2344, K:2010/2196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 tarh edilen vergilere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sadece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 ve vergi sorumlular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dava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i, beyan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vergilerin ise 213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Kanununun vergi hatalar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zeltme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ikayet yoluyla giderilmesine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nda, herhangi bir idari veya dava yoluna konu edilemeyece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tertibatl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verginin,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mayan davac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iadesini isteme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gibi, olmayan bu hakka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vurusunun reddine dair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lemin iptalini de yasada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lmeyen bir dava yoluyla isteme yetkisi de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incelenmeksizin reddi gereken davay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girerek reddeden vergi mahkemesi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sonucu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kanun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bozulmas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6230B" w:rsidRDefault="0096230B" w:rsidP="0096230B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M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LLET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ADINA</w:t>
      </w:r>
    </w:p>
    <w:p w:rsidR="0096230B" w:rsidRDefault="0096230B" w:rsidP="0096230B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veren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tay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Dairesince,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temyiz edilen Adana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Mahkemesinin 20.5.2010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E:2010/2344, K:2010/2196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incelendikten ve Tetkik </w:t>
      </w:r>
      <w:proofErr w:type="gramStart"/>
      <w:r>
        <w:rPr>
          <w:sz w:val="18"/>
          <w:szCs w:val="18"/>
        </w:rPr>
        <w:t>Hakimi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Öğü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'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dinlendikten sonra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p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</w:t>
      </w:r>
      <w:r>
        <w:rPr>
          <w:sz w:val="18"/>
          <w:szCs w:val="18"/>
        </w:rPr>
        <w:t>:</w:t>
      </w:r>
    </w:p>
    <w:p w:rsidR="0096230B" w:rsidRDefault="0096230B" w:rsidP="0096230B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213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Kanununun 377'nci maddesinde vergi davas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yetkisi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kelleflere ve sorumlulara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6230B" w:rsidRDefault="0096230B" w:rsidP="0096230B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3065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Kanununun 8'inci maddesinin 1'inci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 bu verginin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kellefinin, mal teslim eden ve hizmet ifas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bulunanlar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kurala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 de,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vergisinin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nedeniyle,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zerinden hesaplanan vergiyi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demek zorunda kalan ve vergi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kalmas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mamelekinde meydana getirdi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azalma nedeniyle menfaati etkilenen davac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dava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ehliyeti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96230B" w:rsidRDefault="0096230B" w:rsidP="0096230B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2577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Kanununun 51'inci maddesinde;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 idare mahkemesi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idare ve vergi mahkemelerince ve </w:t>
      </w:r>
      <w:proofErr w:type="spellStart"/>
      <w:r>
        <w:rPr>
          <w:sz w:val="18"/>
          <w:szCs w:val="18"/>
        </w:rPr>
        <w:t>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tayca</w:t>
      </w:r>
      <w:proofErr w:type="spellEnd"/>
      <w:r>
        <w:rPr>
          <w:sz w:val="18"/>
          <w:szCs w:val="18"/>
        </w:rPr>
        <w:t xml:space="preserve"> ilk derece mahkemesi olarak verilip temyiz incelemesinden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meden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bulunan kararlardan,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kteki hukuka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sonucu ifade edenlerin, ilgili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zum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veya kendili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kanun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temyiz olunabilece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kurala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End"/>
      <w:r>
        <w:rPr>
          <w:sz w:val="18"/>
          <w:szCs w:val="18"/>
        </w:rPr>
        <w:t>Belirtilen nitelikteki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hukuk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zenindeki olumsuz etkilerinin, yeni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klara emsal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ilmesi, hukuk ve uygulamada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layan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zenlemede, </w:t>
      </w:r>
      <w:proofErr w:type="spellStart"/>
      <w:r>
        <w:rPr>
          <w:sz w:val="18"/>
          <w:szCs w:val="18"/>
        </w:rPr>
        <w:t>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inceleme yetkisi sadece ileri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temyiz sebepleri ile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Kanun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temyiz isteminin; 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tihad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mesini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</w:t>
      </w:r>
      <w:proofErr w:type="spell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ileri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lmeyen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temyiz sebebinin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hukuka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unun bu </w:t>
      </w:r>
      <w:proofErr w:type="gramStart"/>
      <w:r>
        <w:rPr>
          <w:sz w:val="18"/>
          <w:szCs w:val="18"/>
        </w:rPr>
        <w:t>sebep 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</w:t>
      </w:r>
      <w:proofErr w:type="gramEnd"/>
      <w:r>
        <w:rPr>
          <w:sz w:val="18"/>
          <w:szCs w:val="18"/>
        </w:rPr>
        <w:t xml:space="preserve"> de incelenebilece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sonucuna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ildi.</w:t>
      </w:r>
    </w:p>
    <w:p w:rsidR="0096230B" w:rsidRDefault="0096230B" w:rsidP="0096230B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Vergi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devi ile ilgili temel ilkeleri belirleyen Anayasan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73'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maddesinde; vergi, resim,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benzeri mali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 kanunla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Bakanlar Kuruluna; mali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 muafl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istisnalar ve indirimleri ile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mlerinde, kanunun belirtti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yapma yetkisi verilebilece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96230B" w:rsidRDefault="0096230B" w:rsidP="0096230B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3065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Kanununun 1'inci maddesinde,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rkiye'de, ticari, </w:t>
      </w:r>
      <w:proofErr w:type="gramStart"/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nai</w:t>
      </w:r>
      <w:proofErr w:type="gramEnd"/>
      <w:r>
        <w:rPr>
          <w:sz w:val="18"/>
          <w:szCs w:val="18"/>
        </w:rPr>
        <w:t xml:space="preserve">, zirai faaliyet ve serbest meslek faaliyeti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teslim ve hizmetlerin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vergisine tabi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u; 19'uncu maddesinin 1'inci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kanunlardaki vergi muafl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istisna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mlerinin bu vergi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ersiz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istisna ve muafiyetlerin, ancak bu Kanuna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eklenmek veya bu Kanunda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suretiyle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kurala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6230B" w:rsidRDefault="0096230B" w:rsidP="0096230B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17'nci maddesinin 4'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1.7.2005 tarih ve 5378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32'nci maddesiyle eklenen (s) bendi </w:t>
      </w:r>
      <w:proofErr w:type="gramStart"/>
      <w:r>
        <w:rPr>
          <w:sz w:val="18"/>
          <w:szCs w:val="18"/>
        </w:rPr>
        <w:t>ile,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itimleri, meslekleri,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olarak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-gere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bilgisayar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vergisinden istisna tutulmu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tur.</w:t>
      </w:r>
    </w:p>
    <w:p w:rsidR="0096230B" w:rsidRDefault="0096230B" w:rsidP="0096230B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stisna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yasa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nda; "Bizzat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tertibatl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imal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sonradan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tertibat tak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ilave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tertibat tak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motorlu kara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birinci dereceden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akdine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istihdam edilen bir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trafik siciline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motorlu kara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;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itimleri, meslekleri,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olarak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-gere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bilgisayar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fonksiyon kazand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ortez</w:t>
      </w:r>
      <w:proofErr w:type="spellEnd"/>
      <w:r>
        <w:rPr>
          <w:sz w:val="18"/>
          <w:szCs w:val="18"/>
        </w:rPr>
        <w:t>-</w:t>
      </w:r>
      <w:proofErr w:type="gramStart"/>
      <w:r>
        <w:rPr>
          <w:sz w:val="18"/>
          <w:szCs w:val="18"/>
        </w:rPr>
        <w:t>protez</w:t>
      </w:r>
      <w:proofErr w:type="gramEnd"/>
      <w:r>
        <w:rPr>
          <w:sz w:val="18"/>
          <w:szCs w:val="18"/>
        </w:rPr>
        <w:t xml:space="preserve"> ve benzeri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destekleyici cihazlar" ibaresi ile "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lere hizmet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dernek,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iktisap edecekleri motorlu kara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sakatl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dereceleri %90 ve daha fazla olan malul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tlar" ibaresinin eklenmesi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teklif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ancak; gerek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teklifte, gerekse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Aile,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ve Sosyal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ler Komisyonu ile Plan ve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Komisyonunun kabul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metinlerde, 3065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Kanununun 17'nci maddesinin (4)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"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itimleri, meslekleri,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olarak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-gere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bilgisayar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" bendinin eklenmesi yeterli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 nakil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istisna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yasala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6230B" w:rsidRDefault="0096230B" w:rsidP="0096230B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Dosyada mevcut bilgi ve belgelere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teslime konu otomobil, her ne kadar, davac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sonradan tadil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ise de;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toplumdaki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bireylerin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sunulan motorlu bir nakil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olup "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retime tabi tutulmu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-gere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"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6230B" w:rsidRDefault="0096230B" w:rsidP="0096230B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5378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Yasa ile 3065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Kanununun 17'nci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eklenen (s) bendi ile getirilen istisna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itimleri, meslekleri,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olarak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-gerece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istisna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belirli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haiz motorlu kara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nergelerin kabul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rmemesi, mali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istisnalar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yasa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olup bu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netsel ve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sal tasarruf ve yorumlara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3065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Kanununun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yer verilen 19'uncu maddesi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davac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vergisi istisnas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yararlanmak suretiyle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firma </w:t>
      </w:r>
      <w:proofErr w:type="gramStart"/>
      <w:r>
        <w:rPr>
          <w:sz w:val="18"/>
          <w:szCs w:val="18"/>
        </w:rPr>
        <w:t>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 davac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</w:t>
      </w:r>
      <w:proofErr w:type="gramEnd"/>
      <w:r>
        <w:rPr>
          <w:sz w:val="18"/>
          <w:szCs w:val="18"/>
        </w:rPr>
        <w:t xml:space="preserve"> tahsil edilerek daval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idareye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yasaya uygun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halde,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verginin iadesi istemiyle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reddi yolunda tesis edilen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 iptali yolunda verilen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Mahkemesi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bozulmas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6230B" w:rsidRDefault="0096230B" w:rsidP="0096230B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klanan nedenlerle Adana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Mahkemesinin 20.5.2010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E:2010/2344, K:2010/2196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2577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Kanununun 51'inci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kanun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hukuki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etkili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bozulmas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nderilmesine ve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22.9.2011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oy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uyla karar verildi.</w:t>
      </w:r>
      <w:proofErr w:type="gramEnd"/>
    </w:p>
    <w:p w:rsidR="0096230B" w:rsidRDefault="0096230B" w:rsidP="0096230B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XKAR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IOY:</w:t>
      </w:r>
    </w:p>
    <w:p w:rsidR="0096230B" w:rsidRDefault="0096230B" w:rsidP="0096230B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2577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Kanununun 51'inci maddesinin 1'inci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Mahkemesi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idare ve vergi mahkemelerince ve </w:t>
      </w:r>
      <w:proofErr w:type="spellStart"/>
      <w:r>
        <w:rPr>
          <w:sz w:val="18"/>
          <w:szCs w:val="18"/>
        </w:rPr>
        <w:t>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tayca</w:t>
      </w:r>
      <w:proofErr w:type="spellEnd"/>
      <w:r>
        <w:rPr>
          <w:sz w:val="18"/>
          <w:szCs w:val="18"/>
        </w:rPr>
        <w:t xml:space="preserve"> ilk derece mahkemesi olarak verilip temyiz incelemesinden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meden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bulunan kararlardan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kteki hukuka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sonucu ifade edenlerin ilgili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zum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veya kendili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kanun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temyiz olunabilece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2'nci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ise temyiz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yerinde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takdirde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kanun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bozulaca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kurala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96230B" w:rsidRDefault="0096230B" w:rsidP="0096230B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nca;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tertibatl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verginin,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mayan davac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iadesini isteme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gibi, olmayan bu hakka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vurusunun reddine dair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lemin iptalini de yasada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lmeyen bir dava yoluyla isteme yetkisi de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incelenmeksizin reddi gereken davay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girerek reddeden ve sonucu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olan vergi mahkemesi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bozulmas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yolunda verilen </w:t>
      </w:r>
      <w:proofErr w:type="gramStart"/>
      <w:r>
        <w:rPr>
          <w:sz w:val="18"/>
          <w:szCs w:val="18"/>
        </w:rPr>
        <w:t>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 bu</w:t>
      </w:r>
      <w:proofErr w:type="gramEnd"/>
      <w:r>
        <w:rPr>
          <w:sz w:val="18"/>
          <w:szCs w:val="18"/>
        </w:rPr>
        <w:t xml:space="preserve"> nedenle kanun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bozulmas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6230B" w:rsidRDefault="0096230B" w:rsidP="0096230B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Yukarda yer verilen Yasa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inceleme yetkisi,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temyiz istemiyle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olup, ileri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temyiz sebebi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kteki hukuka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saptanmayan olayda, kanun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bozma isteminin bu nedenle reddi gerekirken,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incelenmek suretiyle verilen Daire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bozmaya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</w:t>
      </w:r>
      <w:r>
        <w:rPr>
          <w:sz w:val="18"/>
          <w:szCs w:val="18"/>
        </w:rPr>
        <w:t>yorum.</w:t>
      </w:r>
    </w:p>
    <w:p w:rsidR="0096230B" w:rsidRDefault="0096230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96230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0641A0"/>
    <w:rsid w:val="00086CEC"/>
    <w:rsid w:val="000C76D1"/>
    <w:rsid w:val="000C7FFB"/>
    <w:rsid w:val="00114901"/>
    <w:rsid w:val="0016162A"/>
    <w:rsid w:val="0017427E"/>
    <w:rsid w:val="001743BE"/>
    <w:rsid w:val="00194CA3"/>
    <w:rsid w:val="001B22A8"/>
    <w:rsid w:val="001D3F8C"/>
    <w:rsid w:val="002039B6"/>
    <w:rsid w:val="002201FD"/>
    <w:rsid w:val="00225B70"/>
    <w:rsid w:val="00266B2E"/>
    <w:rsid w:val="002A4077"/>
    <w:rsid w:val="002C33C3"/>
    <w:rsid w:val="002C4909"/>
    <w:rsid w:val="002F1C9B"/>
    <w:rsid w:val="002F642E"/>
    <w:rsid w:val="0032170A"/>
    <w:rsid w:val="003328CF"/>
    <w:rsid w:val="003C0BDA"/>
    <w:rsid w:val="003C6B5B"/>
    <w:rsid w:val="003D11AA"/>
    <w:rsid w:val="003E1EF7"/>
    <w:rsid w:val="003E24F2"/>
    <w:rsid w:val="003F3B72"/>
    <w:rsid w:val="0042083B"/>
    <w:rsid w:val="004232F2"/>
    <w:rsid w:val="004354B0"/>
    <w:rsid w:val="004406C9"/>
    <w:rsid w:val="00444025"/>
    <w:rsid w:val="0045064D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27628"/>
    <w:rsid w:val="0065709A"/>
    <w:rsid w:val="00687CF1"/>
    <w:rsid w:val="007022B1"/>
    <w:rsid w:val="007533DA"/>
    <w:rsid w:val="00762DB4"/>
    <w:rsid w:val="007673D4"/>
    <w:rsid w:val="0079788A"/>
    <w:rsid w:val="007A1A28"/>
    <w:rsid w:val="007B29B1"/>
    <w:rsid w:val="007C1A5A"/>
    <w:rsid w:val="007C2FDC"/>
    <w:rsid w:val="007D197D"/>
    <w:rsid w:val="007E07E4"/>
    <w:rsid w:val="0084367F"/>
    <w:rsid w:val="0087210F"/>
    <w:rsid w:val="008A6CF4"/>
    <w:rsid w:val="008B03F2"/>
    <w:rsid w:val="009036DC"/>
    <w:rsid w:val="0090404D"/>
    <w:rsid w:val="009117F9"/>
    <w:rsid w:val="00945163"/>
    <w:rsid w:val="0096230B"/>
    <w:rsid w:val="00973A80"/>
    <w:rsid w:val="00A34212"/>
    <w:rsid w:val="00A41744"/>
    <w:rsid w:val="00A74E8A"/>
    <w:rsid w:val="00A916CE"/>
    <w:rsid w:val="00AA3186"/>
    <w:rsid w:val="00B04D3D"/>
    <w:rsid w:val="00B879FA"/>
    <w:rsid w:val="00B93706"/>
    <w:rsid w:val="00C33576"/>
    <w:rsid w:val="00C420A0"/>
    <w:rsid w:val="00C66D23"/>
    <w:rsid w:val="00CA0C61"/>
    <w:rsid w:val="00CA44B6"/>
    <w:rsid w:val="00CC04AD"/>
    <w:rsid w:val="00CE3FAA"/>
    <w:rsid w:val="00CE551E"/>
    <w:rsid w:val="00D85BD0"/>
    <w:rsid w:val="00DC7993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1565</Words>
  <Characters>8923</Characters>
  <Application>Microsoft Office Word</Application>
  <DocSecurity>0</DocSecurity>
  <Lines>74</Lines>
  <Paragraphs>20</Paragraphs>
  <ScaleCrop>false</ScaleCrop>
  <Company>TURMOB</Company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109</cp:revision>
  <dcterms:created xsi:type="dcterms:W3CDTF">2011-12-01T06:40:00Z</dcterms:created>
  <dcterms:modified xsi:type="dcterms:W3CDTF">2012-01-03T06:16:00Z</dcterms:modified>
</cp:coreProperties>
</file>