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24F2" w:rsidRPr="00075AA2" w:rsidRDefault="002A274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26</w:t>
      </w:r>
      <w:r w:rsidR="00E1189A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Ocak 2012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,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 </w:t>
      </w:r>
      <w:r w:rsidR="00B04D3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  <w:t xml:space="preserve">               </w:t>
      </w:r>
      <w:r w:rsidR="00CC04AD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 S</w:t>
      </w:r>
      <w:r w:rsidR="004E479F" w:rsidRPr="00075AA2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ayı: 281</w:t>
      </w:r>
      <w:r w:rsidR="00DF4B9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8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5</w:t>
      </w:r>
    </w:p>
    <w:p w:rsidR="00E1189A" w:rsidRDefault="00E1189A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7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2A2741">
        <w:rPr>
          <w:rFonts w:ascii="Times New Roman" w:eastAsia="ヒラギノ明朝 Pro W3" w:hAnsi="Times" w:cs="Times New Roman"/>
          <w:sz w:val="18"/>
          <w:szCs w:val="18"/>
          <w:u w:val="single"/>
        </w:rPr>
        <w:t>Yarg</w:t>
      </w:r>
      <w:r w:rsidRPr="002A2741">
        <w:rPr>
          <w:rFonts w:ascii="Times New Roman" w:eastAsia="ヒラギノ明朝 Pro W3" w:hAnsi="Times" w:cs="Times New Roman"/>
          <w:sz w:val="18"/>
          <w:szCs w:val="18"/>
          <w:u w:val="single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  <w:u w:val="single"/>
        </w:rPr>
        <w:t>tay 9. Hukuk Dairesinden:</w:t>
      </w:r>
    </w:p>
    <w:p w:rsidR="002A2741" w:rsidRPr="002A2741" w:rsidRDefault="002A2741" w:rsidP="002A2741">
      <w:pPr>
        <w:tabs>
          <w:tab w:val="left" w:pos="566"/>
          <w:tab w:val="left" w:pos="1628"/>
          <w:tab w:val="left" w:pos="1837"/>
          <w:tab w:val="left" w:pos="3993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ab/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 xml:space="preserve">Esas No 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ab/>
        <w:t>2011/48313</w:t>
      </w:r>
    </w:p>
    <w:p w:rsidR="002A2741" w:rsidRPr="002A2741" w:rsidRDefault="002A2741" w:rsidP="002A2741">
      <w:pPr>
        <w:tabs>
          <w:tab w:val="left" w:pos="566"/>
          <w:tab w:val="left" w:pos="1628"/>
          <w:tab w:val="left" w:pos="1837"/>
          <w:tab w:val="left" w:pos="3993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ab/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Karar No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ab/>
        <w:t>2011/43574</w:t>
      </w:r>
    </w:p>
    <w:p w:rsidR="002A2741" w:rsidRPr="002A2741" w:rsidRDefault="002A2741" w:rsidP="002A2741">
      <w:pPr>
        <w:tabs>
          <w:tab w:val="left" w:pos="566"/>
        </w:tabs>
        <w:spacing w:before="113" w:after="113" w:line="240" w:lineRule="exact"/>
        <w:jc w:val="center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2A2741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YARGITAY İLAMI</w:t>
      </w:r>
    </w:p>
    <w:p w:rsidR="002A2741" w:rsidRPr="002A2741" w:rsidRDefault="002A2741" w:rsidP="002A2741">
      <w:pPr>
        <w:tabs>
          <w:tab w:val="left" w:pos="566"/>
          <w:tab w:val="left" w:pos="1628"/>
          <w:tab w:val="left" w:pos="1837"/>
          <w:tab w:val="left" w:pos="3993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ab/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Mahkemesi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ab/>
        <w:t xml:space="preserve">Edirne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Mahkemesi</w:t>
      </w:r>
    </w:p>
    <w:p w:rsidR="002A2741" w:rsidRPr="002A2741" w:rsidRDefault="002A2741" w:rsidP="002A2741">
      <w:pPr>
        <w:tabs>
          <w:tab w:val="left" w:pos="566"/>
          <w:tab w:val="left" w:pos="1628"/>
          <w:tab w:val="left" w:pos="1837"/>
          <w:tab w:val="left" w:pos="3993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ab/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Tarihi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ab/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1/4/2011</w:t>
      </w:r>
      <w:proofErr w:type="gramEnd"/>
    </w:p>
    <w:p w:rsidR="002A2741" w:rsidRPr="002A2741" w:rsidRDefault="002A2741" w:rsidP="002A2741">
      <w:pPr>
        <w:tabs>
          <w:tab w:val="left" w:pos="566"/>
          <w:tab w:val="left" w:pos="1628"/>
          <w:tab w:val="left" w:pos="1837"/>
          <w:tab w:val="left" w:pos="3993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ab/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Numaras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ab/>
        <w:t>2010/474-2011/133</w:t>
      </w:r>
    </w:p>
    <w:p w:rsidR="002A2741" w:rsidRPr="002A2741" w:rsidRDefault="002A2741" w:rsidP="002A2741">
      <w:pPr>
        <w:tabs>
          <w:tab w:val="left" w:pos="566"/>
          <w:tab w:val="left" w:pos="1628"/>
          <w:tab w:val="left" w:pos="1837"/>
          <w:tab w:val="left" w:pos="3993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ab/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Davac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ab/>
        <w:t>Mustafa AKDEN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</w:t>
      </w:r>
    </w:p>
    <w:p w:rsidR="002A2741" w:rsidRPr="002A2741" w:rsidRDefault="002A2741" w:rsidP="002A2741">
      <w:pPr>
        <w:tabs>
          <w:tab w:val="left" w:pos="566"/>
          <w:tab w:val="left" w:pos="1628"/>
          <w:tab w:val="left" w:pos="1837"/>
          <w:tab w:val="left" w:pos="3993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ab/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Daval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ab/>
        <w:t>Tar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 Reformu Genel 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ad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na Avukat Zehra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ZSEVEN</w:t>
      </w:r>
    </w:p>
    <w:p w:rsidR="002A2741" w:rsidRPr="002A2741" w:rsidRDefault="002A2741" w:rsidP="002A2741">
      <w:pPr>
        <w:tabs>
          <w:tab w:val="left" w:pos="566"/>
          <w:tab w:val="left" w:pos="1628"/>
          <w:tab w:val="left" w:pos="1837"/>
          <w:tab w:val="left" w:pos="3993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ab/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Temyiz Eden</w:t>
      </w: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ab/>
        <w:t>: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ab/>
        <w:t>Yarg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tay Cumhuriyet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Davac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Mustafa Akdeniz ile daval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Tar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 Reformu Genel 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üğü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aras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ndaki alacak davas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ili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kin Edirne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Mahkemesince verilen ve temyiz edilmeksizin kesinle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en 1/4/2011 tarih ve 2010/474 esas, 2010/133 karar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5510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Kanunun 80. Maddesine ayk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u iddias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ile kanun yarar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bozulmas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Yarg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tay Cumhuriyet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26/9/2011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ve 2011/225030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2A2741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namesi</w:t>
      </w:r>
      <w:proofErr w:type="spell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ile istenilmi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olmakla, dosyadaki 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 belgeler okunup dava dosyas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in Tetkik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Hakimi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U. Ocak taraf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zenlenen rapor dinlendikten sonra dosya incelendi, gere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konu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ulup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üşü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:</w:t>
      </w:r>
    </w:p>
    <w:p w:rsidR="002A2741" w:rsidRPr="002A2741" w:rsidRDefault="002A2741" w:rsidP="002A2741">
      <w:pPr>
        <w:spacing w:before="56" w:after="56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b/>
          <w:sz w:val="18"/>
          <w:szCs w:val="18"/>
        </w:rPr>
        <w:t>YARGITAY KARARI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Mahkemece, davac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cretlerinden sigorta primi kesilmesi yasaya ayk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bulundu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undan, 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lan davan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kabul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ne karar verilmi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Adalet Bakanl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ığı’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30/5/2011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tarihli yaz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ile karar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kanun yarar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temyiz edilmesi istenmi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olup Yarg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tay Cumhuriyet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 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lan karar 5510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Kanunun 80. Maddesine ayk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oldu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u gerek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esi ile kanun yarar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temyiz edilmi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Dosya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eri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ine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re davac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ile daval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veren aras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 ilave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 sigorta primi kesilip, kesilemeyece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konusunda uyu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mazl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 bulunmaktad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kapsam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, yararlanacaklar, yararlanma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artlar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, miktar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 zaman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6772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Devlet ve Ona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esseselerde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an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lave Tediye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Hakk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ndaki Kanun ile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zenlenmi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 Kanunun 1 inci maddesinde, Devlet ve ona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kurumlar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hangileri oldu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u, ayr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ca yararlanacak ki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iler 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 belirtilmi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Buna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re;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A.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veren kapsam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nden Devlete ve ona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olmak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zere,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1. Genel, katma ve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zel b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eli daireler,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2. Sermayesi de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en kurumlar,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3. Sermayesinin yar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 fazlas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Devlete ait olan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irket ve kurumlar ve bunlara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lar,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4. Belediyeler ve belediyelere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lar,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5. 3460 ve 3659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 kapsam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giren, sermayesinin tamam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Devlete ait olan veya bu sermaye ile kurulan iktisadi Devlet kurulu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,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3460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Yasa bug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itibari ile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kte olan bir yasa de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ildir. 3659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Yasa ise, banka ve Devlet kurumlar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 memurlar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ile ilgili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zenleme getirmi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ve halen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ktedir. Bu Yasan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 1 inci maddesinde, kapsama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kurumlar daha ayr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klanm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Yukarda belirtilen kurumlarca, sermayesinin yar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 fazlas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tirak suretiyle kurulan kurulu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lar ve bunlar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ayn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nispette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tirakleriyle v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cut bulan kurumlar, ticaret ve sanayi odalar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ve borsalar veya sat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p belediyelere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lanan 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esseseler de Kanun kapsam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Keza 5018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Kamu Mali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netim ve Kontrol Kanununda, merkezi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netim kapsam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ndaki kamu idareleri, sosyal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ve mahalli idarelerden olu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 genel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netim kapsam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ndaki kamu idareleri ekli cetvellerde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r. Bu cetvellerde Genel B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 Kapsam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ndaki Kamu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dareleri,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zel B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eli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dareler,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zenleyici ve Denetleyici Kurumlar ve Sosyal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venlik Kurumlar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kanun kapsam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 oldu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unun kabul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Sonu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itibari ile kapsam bak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ndan, Devlet taraf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 yasa ve yasan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verdi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yetki ile idari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lemle kurulan ve kamusal yetki ve ayr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klardan yararlanan kamu 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zel ki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ilikleri ve bunlara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kurulu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larda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mesi ile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anlara uygulanaca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lmektedir.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B.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nden kapsama gelince: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 kapsam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girsin girmesin, yukarda belirtilen Devlet ve ona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kurumlarda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Kanununun 1 inci maddesindeki tan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ma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re,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lan herkes bu alacaktan yararlanacakt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r. Kanun, 4857 ve 1475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Kanunundan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nceki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Kanununa at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fta bulunmu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tur. 4857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tan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na 2 </w:t>
      </w:r>
      <w:proofErr w:type="spellStart"/>
      <w:r w:rsidRPr="002A2741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maddesinde yer vermi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 Buna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bir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mesine dayanarak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 ger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ek ki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iye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denir. O halde bir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mesine dayanarak, yukarda belirtilen kurumlarda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 her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iye ilave tediye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demesinin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C.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denecek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cret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nde kapsam: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lastRenderedPageBreak/>
        <w:t>Maddenin son 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mlesinde, yukarda belirtilen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yerlerinde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ilere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cret sistemleri ne olursa olsun her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 birer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cret tutar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 ilave tediye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creti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denece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belirtilmi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 Devlet ve ona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maden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letmelerinin yeralt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ilere, ayr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ca bir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 birer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k daha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demenin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2A2741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maddesinde 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klanm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Kanunun 3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maddesinde,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ilere her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 birer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 (yeralt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ilere her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 iki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er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k) ilave tediye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nda, birer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cret istihkaklar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zere Bakanlar Kurulu karar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ile ayn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oranda bir ilave tediye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demesi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labilece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belirtilmi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Keza Yasan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 Ek 1 inci maddesi ile ilave tediyelerin Toplu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mesi ile kararla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halinde buna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 getirilmi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ve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Bu Kanun uyar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nca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ilere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lan ilave tediyelerden ayr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olarak, her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 her biri bir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 istihkaklar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tutar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(hafta ve genel tatil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cretleri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>) ge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memek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art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yla toplu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meleri ile en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ok iki ikramiye daha verilebilir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zenlemesine yer verilmi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tir. Toplu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mesi ile yukarda belirtilen kurumlarda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ilere en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ok iki ay daha ilave tediye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denece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inin kararla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labilece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i, bu miktar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zerinde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eklindeki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zenlemenin yasal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an miktarda ge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ersiz olaca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kabul etmek gerekir.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Kanun, kapsam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inde olmayan ancak Toplu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mesi uygulanacak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yerleri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in de Ek 2 </w:t>
      </w:r>
      <w:proofErr w:type="spellStart"/>
      <w:r w:rsidRPr="002A2741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madde ile bir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rlama getirmi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ve kapsamda kalmayan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yerlerinde Toplu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meleri ile en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ok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rt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k, yeralt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ndaki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yerlerinde ise en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ok be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 ilave tediye oran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cret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denece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kural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yer vermi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 Ancak bu 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yerlerinde Toplu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mesi ile kararla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lan bu 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demeleri ilave tediye olarak de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il, akdi ikramiye olarak kabul etmek yerinde olacakt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Kanunun 4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maddesine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re, ilave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 zaman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, Bakanlar Kurulu belirler. Bakanlar Kurulunun karar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ile ilave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muaccel hale gelir.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lave tediye hesab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, Bakanlar Kurulunun belirledi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deme tarihlerindeki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crete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re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r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(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>Yarg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tay 9. HD.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12/9/2011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 2011/36505 E. 2011/29278 K.).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 zaman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taraflarca kararla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lmad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nda, Bor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lar Kanununun 101 inci maddesi uyar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nca, temerr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 alacakl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ihtar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gerek vard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r.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yasadan kaynakland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ndan, talep halinde temerr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 tarihinden itibaren yasal faiz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lmelidir. Toplu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melerinde bulunan, 6772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Yasa maddesinin tekrar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 ibaret h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mler,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dayana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ilgili Yasa oldu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u ger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ini de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tirmeyece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inden, bu durumlarda dahi yasal faize karar verilmelidir. Ancak,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zelle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tirme vb. sebeplerle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denme ko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ullar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yitirildi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i, ilave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sadece toplu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mesine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re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denmesinin kararla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durumlarda, 2822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Kanunun 61 inci maddesi uyar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nca en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ksek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letme kredisi faizine h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kmedilmelidir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(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>Yarg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tay 9. HD.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13/9/2011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2011/39204 E. 2011/29535 K.).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Ayn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maddede ilave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nas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 hesaplanaca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ve kesinti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p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lmayaca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belirtilmi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 Buna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re ayl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 olarak bu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hesaplanmas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nda, fazla mesai, evlilik,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ocuk zamlar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veya primleri, ayni yard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mlar, hafta ve genel tatil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cretleri gibi esas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crete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dahil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olan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demeler dikkate 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nmaz. Bu 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zenleme nedeni ile ilave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bir ay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in </w:t>
      </w:r>
      <w:proofErr w:type="spellStart"/>
      <w:r w:rsidRPr="002A2741">
        <w:rPr>
          <w:rFonts w:ascii="Times New Roman" w:eastAsia="ヒラギノ明朝 Pro W3" w:hAnsi="Times" w:cs="Times New Roman"/>
          <w:sz w:val="18"/>
          <w:szCs w:val="18"/>
        </w:rPr>
        <w:t>yirmialt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zerinden hesaplanmas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gerekir.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ndan sigorta primleri kesilmez. Ancak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1/10/2008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 giren 5510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Yasan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80/c ve 105 inci maddeleri uyar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nca,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cretin eki niteli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indeki bu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deme, 1/10/2008 tarihinden itibaren sigorta prim kesintisine tabidir.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 tarihinde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inin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inden ayr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olup olmad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bak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lmaks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n, hak edilen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inde o yerde veya ayn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idare, te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ekk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 ve 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esseseye ait muhtelif yerlerde ge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olan hizmetlerinin toplam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oran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nda ve son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yerde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denir,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tam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l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ise, ilave tediye o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 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stelyevm esas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re hesaplan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p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denecektir.</w:t>
      </w:r>
      <w:proofErr w:type="gramEnd"/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İşç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inin ilave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na, esas olacak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ma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resinin hesaplanmas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zle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mesinin devam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ddetine rastlayan yasal ve idari izinler, hastal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 izinleri, hafta tatili ile ulusal bayram ve genel tatil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nleri,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gibi hesaba kat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Somut olayda, davac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ilave tediye alaca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ndan kesilen sigorta primlerinin iadesine karar verilmi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Yukar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da 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kland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1/10/2008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tarihinde 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 giren 5510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Yasan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80/c ve 105 inci maddeleri uyar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nca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cretin eki niteli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indeki bu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deme, 1/10/2008 tarihinden itibaren sigorta prim kesintisine tabidir. Yap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lan kesinti kanundan kaynaklanmaktad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Mahkemece 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lan kanun h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proofErr w:type="spellStart"/>
      <w:r w:rsidRPr="002A2741">
        <w:rPr>
          <w:rFonts w:ascii="Times New Roman" w:eastAsia="ヒラギノ明朝 Pro W3" w:hAnsi="Times" w:cs="Times New Roman"/>
          <w:sz w:val="18"/>
          <w:szCs w:val="18"/>
        </w:rPr>
        <w:t>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ne</w:t>
      </w:r>
      <w:proofErr w:type="spell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nmaks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6772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Kanunun 4. Maddesi gerek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e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sterilerek davan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kabul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ne karar verilmesi hatal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olup bozmay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gerektirmi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2A2741" w:rsidRPr="002A2741" w:rsidRDefault="002A2741" w:rsidP="002A2741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2A2741">
        <w:rPr>
          <w:rFonts w:ascii="Times New Roman" w:eastAsia="ヒラギノ明朝 Pro W3" w:hAnsi="Times" w:cs="Times New Roman"/>
          <w:sz w:val="18"/>
          <w:szCs w:val="18"/>
        </w:rPr>
        <w:t>SONU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:  Yarg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tay Cumhuriyet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 1086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Hukuk Usul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Muhakemeleri Kanununun 429/2 (6100 say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Hukuk Muhakemeleri Kanunu 362/2) maddesine dayal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kanun yarar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bozma iste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inin 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klanan sebeplerle kabul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ile h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sonuca etkili olmamak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zere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yukar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da belirtilen sebeple BOZULMASINA, karar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 bir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rne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inin Resm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î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Gazete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’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de yay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mlanmas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in Adalet Bakanl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na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nderilmek 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zere Yarg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tay Cumhuriyet Ba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savc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'na tevdiine </w:t>
      </w:r>
      <w:proofErr w:type="gramStart"/>
      <w:r w:rsidRPr="002A2741">
        <w:rPr>
          <w:rFonts w:ascii="Times New Roman" w:eastAsia="ヒラギノ明朝 Pro W3" w:hAnsi="Times" w:cs="Times New Roman"/>
          <w:sz w:val="18"/>
          <w:szCs w:val="18"/>
        </w:rPr>
        <w:t>15/11/2011</w:t>
      </w:r>
      <w:proofErr w:type="gramEnd"/>
      <w:r w:rsidRPr="002A2741">
        <w:rPr>
          <w:rFonts w:ascii="Times New Roman" w:eastAsia="ヒラギノ明朝 Pro W3" w:hAnsi="Times" w:cs="Times New Roman"/>
          <w:sz w:val="18"/>
          <w:szCs w:val="18"/>
        </w:rPr>
        <w:t xml:space="preserve"> g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nde oybirli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2A2741">
        <w:rPr>
          <w:rFonts w:ascii="Times New Roman" w:eastAsia="ヒラギノ明朝 Pro W3" w:hAnsi="Times" w:cs="Times New Roman"/>
          <w:sz w:val="18"/>
          <w:szCs w:val="18"/>
        </w:rPr>
        <w:t>i ile karar verildi.</w:t>
      </w:r>
    </w:p>
    <w:p w:rsidR="002A2741" w:rsidRDefault="002A2741" w:rsidP="00C66D23">
      <w:pPr>
        <w:spacing w:after="0" w:line="240" w:lineRule="atLeas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sectPr w:rsidR="002A2741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20000287" w:usb1="00000000" w:usb2="00000000" w:usb3="00000000" w:csb0="0000019F" w:csb1="00000000"/>
  </w:font>
  <w:font w:name="ヒラギノ明朝 Pro W3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9E2311"/>
    <w:multiLevelType w:val="hybridMultilevel"/>
    <w:tmpl w:val="0BAAC5B4"/>
    <w:lvl w:ilvl="0" w:tplc="C1B02538">
      <w:start w:val="1"/>
      <w:numFmt w:val="bullet"/>
      <w:lvlText w:val=""/>
      <w:lvlJc w:val="left"/>
      <w:pPr>
        <w:tabs>
          <w:tab w:val="num" w:pos="964"/>
        </w:tabs>
        <w:ind w:left="0" w:firstLine="567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E284D70"/>
    <w:multiLevelType w:val="hybridMultilevel"/>
    <w:tmpl w:val="06CE66E8"/>
    <w:lvl w:ilvl="0" w:tplc="52DC2E1C">
      <w:start w:val="1"/>
      <w:numFmt w:val="lowerLetter"/>
      <w:lvlText w:val="%1)"/>
      <w:lvlJc w:val="left"/>
      <w:pPr>
        <w:ind w:left="927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A177A0"/>
    <w:multiLevelType w:val="hybridMultilevel"/>
    <w:tmpl w:val="09B81CAA"/>
    <w:lvl w:ilvl="0" w:tplc="17B259E4">
      <w:start w:val="1"/>
      <w:numFmt w:val="lowerLetter"/>
      <w:lvlText w:val="%1)"/>
      <w:lvlJc w:val="left"/>
      <w:pPr>
        <w:ind w:left="855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B7035"/>
    <w:multiLevelType w:val="hybridMultilevel"/>
    <w:tmpl w:val="501CB74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74FA9"/>
    <w:multiLevelType w:val="hybridMultilevel"/>
    <w:tmpl w:val="04105732"/>
    <w:lvl w:ilvl="0" w:tplc="A6B0170E">
      <w:start w:val="1"/>
      <w:numFmt w:val="lowerLetter"/>
      <w:lvlText w:val="%1)"/>
      <w:lvlJc w:val="left"/>
      <w:pPr>
        <w:ind w:left="904" w:hanging="360"/>
      </w:pPr>
      <w:rPr>
        <w:b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6D23"/>
    <w:rsid w:val="00027424"/>
    <w:rsid w:val="00031A95"/>
    <w:rsid w:val="00037146"/>
    <w:rsid w:val="0003769D"/>
    <w:rsid w:val="00054A02"/>
    <w:rsid w:val="000641A0"/>
    <w:rsid w:val="00075AA2"/>
    <w:rsid w:val="000824A8"/>
    <w:rsid w:val="00086CEC"/>
    <w:rsid w:val="00093CA5"/>
    <w:rsid w:val="000A43A9"/>
    <w:rsid w:val="000C76D1"/>
    <w:rsid w:val="000C7FFB"/>
    <w:rsid w:val="00114901"/>
    <w:rsid w:val="00125F74"/>
    <w:rsid w:val="0016162A"/>
    <w:rsid w:val="00162897"/>
    <w:rsid w:val="0017427E"/>
    <w:rsid w:val="001743BE"/>
    <w:rsid w:val="00194CA3"/>
    <w:rsid w:val="001A04F3"/>
    <w:rsid w:val="001B22A8"/>
    <w:rsid w:val="001D3F8C"/>
    <w:rsid w:val="001D56DC"/>
    <w:rsid w:val="001F59A5"/>
    <w:rsid w:val="002039B6"/>
    <w:rsid w:val="002201FD"/>
    <w:rsid w:val="00225B70"/>
    <w:rsid w:val="002659CB"/>
    <w:rsid w:val="00266B2E"/>
    <w:rsid w:val="002A2741"/>
    <w:rsid w:val="002A4077"/>
    <w:rsid w:val="002C1E2B"/>
    <w:rsid w:val="002C33C3"/>
    <w:rsid w:val="002C4909"/>
    <w:rsid w:val="002F1C9B"/>
    <w:rsid w:val="002F642E"/>
    <w:rsid w:val="0032170A"/>
    <w:rsid w:val="003328CF"/>
    <w:rsid w:val="0036378D"/>
    <w:rsid w:val="003C0BDA"/>
    <w:rsid w:val="003C1AA1"/>
    <w:rsid w:val="003C6B5B"/>
    <w:rsid w:val="003D11AA"/>
    <w:rsid w:val="003E1EF7"/>
    <w:rsid w:val="003E24F2"/>
    <w:rsid w:val="003F3B72"/>
    <w:rsid w:val="0042083B"/>
    <w:rsid w:val="004232F2"/>
    <w:rsid w:val="004354B0"/>
    <w:rsid w:val="00436459"/>
    <w:rsid w:val="004406C9"/>
    <w:rsid w:val="00444025"/>
    <w:rsid w:val="0045064D"/>
    <w:rsid w:val="00451252"/>
    <w:rsid w:val="004612B2"/>
    <w:rsid w:val="004D02A3"/>
    <w:rsid w:val="004D66C1"/>
    <w:rsid w:val="004E3B12"/>
    <w:rsid w:val="004E479F"/>
    <w:rsid w:val="004F4657"/>
    <w:rsid w:val="005436B7"/>
    <w:rsid w:val="005552F4"/>
    <w:rsid w:val="005664C6"/>
    <w:rsid w:val="005802D5"/>
    <w:rsid w:val="005D0A80"/>
    <w:rsid w:val="005E0A94"/>
    <w:rsid w:val="00605984"/>
    <w:rsid w:val="00607B61"/>
    <w:rsid w:val="00627628"/>
    <w:rsid w:val="00650144"/>
    <w:rsid w:val="0065709A"/>
    <w:rsid w:val="00687CF1"/>
    <w:rsid w:val="007022B1"/>
    <w:rsid w:val="0072477E"/>
    <w:rsid w:val="0072577F"/>
    <w:rsid w:val="007533DA"/>
    <w:rsid w:val="00762DB4"/>
    <w:rsid w:val="007673D4"/>
    <w:rsid w:val="0079788A"/>
    <w:rsid w:val="007A1A28"/>
    <w:rsid w:val="007B29B1"/>
    <w:rsid w:val="007C1A5A"/>
    <w:rsid w:val="007C2FDC"/>
    <w:rsid w:val="007C5FE3"/>
    <w:rsid w:val="007D197D"/>
    <w:rsid w:val="007E07E4"/>
    <w:rsid w:val="008126F8"/>
    <w:rsid w:val="0084367F"/>
    <w:rsid w:val="0087210F"/>
    <w:rsid w:val="008A6CF4"/>
    <w:rsid w:val="008B03F2"/>
    <w:rsid w:val="009036DC"/>
    <w:rsid w:val="0090404D"/>
    <w:rsid w:val="009117F9"/>
    <w:rsid w:val="00945163"/>
    <w:rsid w:val="00945CBE"/>
    <w:rsid w:val="0096230B"/>
    <w:rsid w:val="00973A80"/>
    <w:rsid w:val="00A34212"/>
    <w:rsid w:val="00A41744"/>
    <w:rsid w:val="00A41E4C"/>
    <w:rsid w:val="00A74E8A"/>
    <w:rsid w:val="00A81CDA"/>
    <w:rsid w:val="00A916CE"/>
    <w:rsid w:val="00AA3186"/>
    <w:rsid w:val="00AC1AC1"/>
    <w:rsid w:val="00AF4D65"/>
    <w:rsid w:val="00B04D3D"/>
    <w:rsid w:val="00B27B5E"/>
    <w:rsid w:val="00B605BA"/>
    <w:rsid w:val="00B879FA"/>
    <w:rsid w:val="00B93706"/>
    <w:rsid w:val="00C33576"/>
    <w:rsid w:val="00C376C1"/>
    <w:rsid w:val="00C420A0"/>
    <w:rsid w:val="00C53D56"/>
    <w:rsid w:val="00C66D23"/>
    <w:rsid w:val="00CA0C61"/>
    <w:rsid w:val="00CA44B6"/>
    <w:rsid w:val="00CC04AD"/>
    <w:rsid w:val="00CC5605"/>
    <w:rsid w:val="00CE3FAA"/>
    <w:rsid w:val="00CE551E"/>
    <w:rsid w:val="00D85BD0"/>
    <w:rsid w:val="00DC7993"/>
    <w:rsid w:val="00DF4B9B"/>
    <w:rsid w:val="00E1189A"/>
    <w:rsid w:val="00E310DF"/>
    <w:rsid w:val="00E315F1"/>
    <w:rsid w:val="00E324F9"/>
    <w:rsid w:val="00EB4906"/>
    <w:rsid w:val="00EF35E8"/>
    <w:rsid w:val="00F017A2"/>
    <w:rsid w:val="00F24BA0"/>
    <w:rsid w:val="00F53F28"/>
    <w:rsid w:val="00F70FEF"/>
    <w:rsid w:val="00F843E9"/>
    <w:rsid w:val="00FB1BA4"/>
    <w:rsid w:val="00FC3C7D"/>
    <w:rsid w:val="00FC4DAE"/>
    <w:rsid w:val="00FD3809"/>
    <w:rsid w:val="00FF0851"/>
    <w:rsid w:val="00FF3F06"/>
    <w:rsid w:val="00FF7E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1189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qFormat/>
    <w:rsid w:val="00A41744"/>
    <w:pPr>
      <w:keepNext/>
      <w:spacing w:after="120" w:line="240" w:lineRule="auto"/>
      <w:ind w:firstLine="567"/>
      <w:jc w:val="both"/>
      <w:outlineLvl w:val="1"/>
    </w:pPr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paragraph" w:styleId="Balk3">
    <w:name w:val="heading 3"/>
    <w:basedOn w:val="Normal"/>
    <w:next w:val="Normal"/>
    <w:link w:val="Balk3Char"/>
    <w:uiPriority w:val="9"/>
    <w:qFormat/>
    <w:rsid w:val="00A41744"/>
    <w:pPr>
      <w:keepNext/>
      <w:tabs>
        <w:tab w:val="left" w:pos="851"/>
      </w:tabs>
      <w:spacing w:after="12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Balk4">
    <w:name w:val="heading 4"/>
    <w:basedOn w:val="Normal"/>
    <w:next w:val="Normal"/>
    <w:link w:val="Balk4Char"/>
    <w:uiPriority w:val="9"/>
    <w:qFormat/>
    <w:rsid w:val="00E1189A"/>
    <w:pPr>
      <w:keepNext/>
      <w:tabs>
        <w:tab w:val="left" w:pos="6840"/>
      </w:tabs>
      <w:spacing w:after="0" w:line="240" w:lineRule="auto"/>
      <w:ind w:firstLine="720"/>
      <w:jc w:val="both"/>
      <w:outlineLvl w:val="3"/>
    </w:pPr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66D23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CE3FAA"/>
    <w:rPr>
      <w:strike w:val="0"/>
      <w:dstrike w:val="0"/>
      <w:color w:val="0000FF"/>
      <w:u w:val="none"/>
      <w:effect w:val="none"/>
    </w:rPr>
  </w:style>
  <w:style w:type="paragraph" w:customStyle="1" w:styleId="3-normalyaz">
    <w:name w:val="3-normalyaz"/>
    <w:basedOn w:val="Normal"/>
    <w:rsid w:val="00CE3FAA"/>
    <w:pPr>
      <w:spacing w:after="0" w:line="240" w:lineRule="atLeast"/>
      <w:jc w:val="both"/>
    </w:pPr>
    <w:rPr>
      <w:rFonts w:ascii="Verdana" w:eastAsia="Times New Roman" w:hAnsi="Verdana" w:cs="Times New Roman"/>
      <w:color w:val="000000"/>
      <w:sz w:val="15"/>
      <w:szCs w:val="15"/>
      <w:lang w:eastAsia="tr-TR"/>
    </w:rPr>
  </w:style>
  <w:style w:type="character" w:customStyle="1" w:styleId="grame">
    <w:name w:val="grame"/>
    <w:basedOn w:val="VarsaylanParagrafYazTipi"/>
    <w:rsid w:val="008A6CF4"/>
  </w:style>
  <w:style w:type="paragraph" w:customStyle="1" w:styleId="3-NormalYaz0">
    <w:name w:val="3-Normal Yazı"/>
    <w:rsid w:val="004D66C1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customStyle="1" w:styleId="1-Baslk">
    <w:name w:val="1-Baslık"/>
    <w:rsid w:val="00605984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2-OrtaBaslk">
    <w:name w:val="2-Orta Baslık"/>
    <w:rsid w:val="00605984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character" w:customStyle="1" w:styleId="Normal1">
    <w:name w:val="Normal1"/>
    <w:rsid w:val="00AA318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character" w:customStyle="1" w:styleId="Balk2Char">
    <w:name w:val="Başlık 2 Char"/>
    <w:basedOn w:val="VarsaylanParagrafYazTipi"/>
    <w:link w:val="Balk2"/>
    <w:uiPriority w:val="9"/>
    <w:rsid w:val="00A41744"/>
    <w:rPr>
      <w:rFonts w:ascii="Times New Roman" w:eastAsia="Times New Roman" w:hAnsi="Times New Roman" w:cs="Arial"/>
      <w:b/>
      <w:bCs/>
      <w:iCs/>
      <w:caps/>
      <w:sz w:val="26"/>
      <w:szCs w:val="26"/>
      <w:lang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A41744"/>
    <w:rPr>
      <w:rFonts w:ascii="Times New Roman" w:eastAsia="Times New Roman" w:hAnsi="Times New Roman" w:cs="Arial"/>
      <w:b/>
      <w:bCs/>
      <w:sz w:val="26"/>
      <w:szCs w:val="26"/>
      <w:lang w:eastAsia="tr-TR"/>
    </w:rPr>
  </w:style>
  <w:style w:type="paragraph" w:styleId="GvdeMetni">
    <w:name w:val="Body Text"/>
    <w:basedOn w:val="Normal"/>
    <w:link w:val="GvdeMetniChar"/>
    <w:uiPriority w:val="99"/>
    <w:unhideWhenUsed/>
    <w:rsid w:val="00A41744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A41744"/>
    <w:rPr>
      <w:rFonts w:ascii="Tahoma" w:eastAsia="Times New Roman" w:hAnsi="Tahoma" w:cs="Times New Roman"/>
      <w:szCs w:val="20"/>
      <w:lang w:eastAsia="tr-TR"/>
    </w:rPr>
  </w:style>
  <w:style w:type="character" w:customStyle="1" w:styleId="KalnChar">
    <w:name w:val="Kalın Char"/>
    <w:basedOn w:val="VarsaylanParagrafYazTipi"/>
    <w:link w:val="Kaln"/>
    <w:locked/>
    <w:rsid w:val="00A41744"/>
    <w:rPr>
      <w:b/>
      <w:bCs/>
      <w:color w:val="000000"/>
      <w:sz w:val="26"/>
      <w:szCs w:val="26"/>
      <w:lang w:eastAsia="tr-TR"/>
    </w:rPr>
  </w:style>
  <w:style w:type="paragraph" w:customStyle="1" w:styleId="Kaln">
    <w:name w:val="Kalın"/>
    <w:basedOn w:val="GvdeMetni"/>
    <w:link w:val="KalnChar"/>
    <w:rsid w:val="00A41744"/>
    <w:pPr>
      <w:spacing w:after="240"/>
      <w:ind w:firstLine="567"/>
    </w:pPr>
    <w:rPr>
      <w:rFonts w:asciiTheme="minorHAnsi" w:eastAsiaTheme="minorHAnsi" w:hAnsiTheme="minorHAnsi" w:cstheme="minorBidi"/>
      <w:b/>
      <w:bCs/>
      <w:color w:val="000000"/>
      <w:sz w:val="26"/>
      <w:szCs w:val="26"/>
    </w:rPr>
  </w:style>
  <w:style w:type="paragraph" w:customStyle="1" w:styleId="KararVerenler">
    <w:name w:val="Karar Verenler"/>
    <w:basedOn w:val="GvdeMetni"/>
    <w:rsid w:val="00A41744"/>
    <w:pPr>
      <w:ind w:firstLine="567"/>
    </w:pPr>
    <w:rPr>
      <w:rFonts w:ascii="Times New Roman" w:hAnsi="Times New Roman"/>
      <w:color w:val="000000"/>
      <w:sz w:val="24"/>
      <w:szCs w:val="26"/>
    </w:rPr>
  </w:style>
  <w:style w:type="character" w:customStyle="1" w:styleId="talikchar">
    <w:name w:val="talikchar"/>
    <w:basedOn w:val="VarsaylanParagrafYazTipi"/>
    <w:rsid w:val="00A41744"/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84367F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western">
    <w:name w:val="western"/>
    <w:basedOn w:val="Normal"/>
    <w:rsid w:val="0084367F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KonuBal">
    <w:name w:val="Title"/>
    <w:basedOn w:val="Normal"/>
    <w:link w:val="KonuBalChar"/>
    <w:uiPriority w:val="10"/>
    <w:qFormat/>
    <w:rsid w:val="008436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4367F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673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673D4"/>
    <w:rPr>
      <w:rFonts w:ascii="Tahoma" w:hAnsi="Tahoma" w:cs="Tahoma"/>
      <w:sz w:val="16"/>
      <w:szCs w:val="16"/>
    </w:rPr>
  </w:style>
  <w:style w:type="character" w:styleId="Gl">
    <w:name w:val="Strong"/>
    <w:basedOn w:val="VarsaylanParagrafYazTipi"/>
    <w:uiPriority w:val="22"/>
    <w:qFormat/>
    <w:rsid w:val="001B22A8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E118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rsid w:val="00E1189A"/>
    <w:rPr>
      <w:rFonts w:ascii="Times New Roman" w:eastAsia="Arial Unicode MS" w:hAnsi="Times New Roman" w:cs="Times New Roman"/>
      <w:b/>
      <w:bCs/>
      <w:szCs w:val="24"/>
      <w:u w:val="single"/>
      <w:lang w:eastAsia="tr-TR"/>
    </w:rPr>
  </w:style>
  <w:style w:type="paragraph" w:styleId="stbilgi">
    <w:name w:val="header"/>
    <w:basedOn w:val="Normal"/>
    <w:link w:val="s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semiHidden/>
    <w:unhideWhenUsed/>
    <w:rsid w:val="00E1189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E1189A"/>
    <w:rPr>
      <w:rFonts w:ascii="Times New Roman" w:eastAsia="Times New Roman" w:hAnsi="Times New Roman" w:cs="Times New Roman"/>
      <w:noProof/>
      <w:sz w:val="24"/>
      <w:szCs w:val="24"/>
      <w:lang w:eastAsia="tr-TR"/>
    </w:rPr>
  </w:style>
  <w:style w:type="character" w:customStyle="1" w:styleId="KonuBalChar1">
    <w:name w:val="Konu Başlığı Char1"/>
    <w:locked/>
    <w:rsid w:val="00E1189A"/>
    <w:rPr>
      <w:b/>
      <w:bCs/>
      <w:sz w:val="24"/>
      <w:szCs w:val="24"/>
      <w:lang w:eastAsia="tr-TR"/>
    </w:rPr>
  </w:style>
  <w:style w:type="paragraph" w:customStyle="1" w:styleId="msottle">
    <w:name w:val="msotıtle"/>
    <w:basedOn w:val="Normal"/>
    <w:rsid w:val="00E1189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customStyle="1" w:styleId="msosubttle">
    <w:name w:val="msosubtıtle"/>
    <w:basedOn w:val="Normal"/>
    <w:rsid w:val="00E1189A"/>
    <w:pPr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E1189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3">
    <w:name w:val="Body Text 3"/>
    <w:basedOn w:val="Normal"/>
    <w:link w:val="GvdeMetni3Char"/>
    <w:uiPriority w:val="99"/>
    <w:semiHidden/>
    <w:unhideWhenUsed/>
    <w:rsid w:val="00E1189A"/>
    <w:pPr>
      <w:autoSpaceDE w:val="0"/>
      <w:autoSpaceDN w:val="0"/>
      <w:adjustRightInd w:val="0"/>
      <w:spacing w:before="100" w:after="100" w:line="240" w:lineRule="auto"/>
      <w:ind w:right="225"/>
      <w:jc w:val="both"/>
    </w:pPr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E1189A"/>
    <w:rPr>
      <w:rFonts w:ascii="Times New Roman" w:eastAsia="Times New Roman" w:hAnsi="Times New Roman" w:cs="Times New Roman"/>
      <w:bCs/>
      <w:sz w:val="19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unhideWhenUsed/>
    <w:rsid w:val="00E1189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3">
    <w:name w:val="Body Text Indent 3"/>
    <w:basedOn w:val="Normal"/>
    <w:link w:val="GvdeMetniGirintisi3Char"/>
    <w:uiPriority w:val="99"/>
    <w:semiHidden/>
    <w:unhideWhenUsed/>
    <w:rsid w:val="00E1189A"/>
    <w:pPr>
      <w:spacing w:after="0" w:line="240" w:lineRule="auto"/>
      <w:ind w:left="110"/>
      <w:jc w:val="both"/>
    </w:pPr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character" w:customStyle="1" w:styleId="GvdeMetniGirintisi3Char">
    <w:name w:val="Gövde Metni Girintisi 3 Char"/>
    <w:basedOn w:val="VarsaylanParagrafYazTipi"/>
    <w:link w:val="GvdeMetniGirintisi3"/>
    <w:uiPriority w:val="99"/>
    <w:semiHidden/>
    <w:rsid w:val="00E1189A"/>
    <w:rPr>
      <w:rFonts w:ascii="Times New Roman" w:eastAsia="Times New Roman" w:hAnsi="Times New Roman" w:cs="Times New Roman"/>
      <w:bCs/>
      <w:noProof/>
      <w:sz w:val="24"/>
      <w:szCs w:val="18"/>
      <w:lang w:eastAsia="tr-TR"/>
    </w:rPr>
  </w:style>
  <w:style w:type="paragraph" w:styleId="bekMetni">
    <w:name w:val="Block Text"/>
    <w:basedOn w:val="Normal"/>
    <w:uiPriority w:val="99"/>
    <w:semiHidden/>
    <w:unhideWhenUsed/>
    <w:rsid w:val="00E1189A"/>
    <w:pPr>
      <w:spacing w:after="0" w:line="240" w:lineRule="auto"/>
      <w:ind w:left="151" w:right="279" w:hanging="151"/>
      <w:jc w:val="both"/>
    </w:pPr>
    <w:rPr>
      <w:rFonts w:ascii="Times New Roman" w:eastAsia="Times New Roman" w:hAnsi="Times New Roman" w:cs="Times New Roman"/>
      <w:sz w:val="19"/>
      <w:szCs w:val="24"/>
      <w:lang w:eastAsia="tr-TR"/>
    </w:rPr>
  </w:style>
  <w:style w:type="paragraph" w:customStyle="1" w:styleId="msoplantext">
    <w:name w:val="msoplaıntext"/>
    <w:basedOn w:val="Normal"/>
    <w:rsid w:val="00E1189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styleId="AltKonuBal">
    <w:name w:val="Subtitle"/>
    <w:basedOn w:val="Normal"/>
    <w:link w:val="AltKonuBalChar"/>
    <w:uiPriority w:val="11"/>
    <w:qFormat/>
    <w:rsid w:val="00E118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E1189A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0">
    <w:name w:val="normal1"/>
    <w:basedOn w:val="VarsaylanParagrafYazTipi"/>
    <w:rsid w:val="00075AA2"/>
  </w:style>
  <w:style w:type="character" w:customStyle="1" w:styleId="spelle">
    <w:name w:val="spelle"/>
    <w:basedOn w:val="VarsaylanParagrafYazTipi"/>
    <w:rsid w:val="00075AA2"/>
  </w:style>
  <w:style w:type="paragraph" w:customStyle="1" w:styleId="2-ortabaslk0">
    <w:name w:val="2-ortabaslk"/>
    <w:basedOn w:val="Normal"/>
    <w:rsid w:val="00075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numbered1">
    <w:name w:val="numbered1"/>
    <w:basedOn w:val="Normal"/>
    <w:rsid w:val="0065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gvdemetni1">
    <w:name w:val="gvdemetni1"/>
    <w:basedOn w:val="Normal"/>
    <w:rsid w:val="00436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kaln">
    <w:name w:val="gvdemetnikaln"/>
    <w:basedOn w:val="VarsaylanParagrafYazTipi"/>
    <w:rsid w:val="00436459"/>
  </w:style>
  <w:style w:type="character" w:customStyle="1" w:styleId="gvdemetni11">
    <w:name w:val="gvdemetni11"/>
    <w:basedOn w:val="VarsaylanParagrafYazTipi"/>
    <w:rsid w:val="00436459"/>
  </w:style>
  <w:style w:type="character" w:customStyle="1" w:styleId="gvdemetnikaln2">
    <w:name w:val="gvdemetnikaln2"/>
    <w:basedOn w:val="VarsaylanParagrafYazTipi"/>
    <w:rsid w:val="00436459"/>
  </w:style>
  <w:style w:type="character" w:customStyle="1" w:styleId="gvdemetnikaln1">
    <w:name w:val="gvdemetnikaln1"/>
    <w:basedOn w:val="VarsaylanParagrafYazTipi"/>
    <w:rsid w:val="00436459"/>
  </w:style>
  <w:style w:type="character" w:customStyle="1" w:styleId="gvdemetniarialunicodems">
    <w:name w:val="gvdemetniarialunicodems"/>
    <w:basedOn w:val="VarsaylanParagrafYazTipi"/>
    <w:rsid w:val="004364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413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9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4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44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3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13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5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8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31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08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65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85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1404</Words>
  <Characters>8008</Characters>
  <Application>Microsoft Office Word</Application>
  <DocSecurity>0</DocSecurity>
  <Lines>66</Lines>
  <Paragraphs>18</Paragraphs>
  <ScaleCrop>false</ScaleCrop>
  <Company>TURMOB</Company>
  <LinksUpToDate>false</LinksUpToDate>
  <CharactersWithSpaces>9394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144</cp:revision>
  <dcterms:created xsi:type="dcterms:W3CDTF">2011-12-01T06:40:00Z</dcterms:created>
  <dcterms:modified xsi:type="dcterms:W3CDTF">2012-01-26T06:29:00Z</dcterms:modified>
</cp:coreProperties>
</file>