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2A274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26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DF4B9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5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2355F" w:rsidRDefault="0022355F" w:rsidP="0022355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KANUN</w:t>
      </w:r>
    </w:p>
    <w:p w:rsidR="0022355F" w:rsidRDefault="0022355F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2355F" w:rsidRDefault="0022355F" w:rsidP="0022355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CUMHUR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EMEKL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SANDI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KANUNU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 BAZI</w:t>
      </w:r>
    </w:p>
    <w:p w:rsidR="0022355F" w:rsidRDefault="0022355F" w:rsidP="0022355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KANUNLARDA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KANUN</w:t>
      </w:r>
    </w:p>
    <w:p w:rsidR="0022355F" w:rsidRDefault="0022355F" w:rsidP="0022355F">
      <w:pPr>
        <w:pStyle w:val="2-OrtaBaslk"/>
        <w:spacing w:line="240" w:lineRule="exact"/>
        <w:rPr>
          <w:sz w:val="18"/>
          <w:szCs w:val="18"/>
        </w:rPr>
      </w:pPr>
    </w:p>
    <w:p w:rsidR="0022355F" w:rsidRDefault="0022355F" w:rsidP="0022355F">
      <w:pPr>
        <w:pStyle w:val="3-NormalYaz0"/>
        <w:tabs>
          <w:tab w:val="right" w:pos="8031"/>
        </w:tabs>
        <w:spacing w:before="113" w:after="113" w:line="240" w:lineRule="exact"/>
        <w:ind w:firstLine="567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Kanun No. 6270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 xml:space="preserve">Kabul Tarihi: </w:t>
      </w:r>
      <w:proofErr w:type="gramStart"/>
      <w:r>
        <w:rPr>
          <w:b/>
          <w:sz w:val="18"/>
          <w:szCs w:val="18"/>
          <w:u w:val="single"/>
        </w:rPr>
        <w:t>17/1/2012</w:t>
      </w:r>
      <w:proofErr w:type="gramEnd"/>
    </w:p>
    <w:p w:rsidR="0022355F" w:rsidRDefault="0022355F" w:rsidP="0022355F">
      <w:pPr>
        <w:pStyle w:val="3-NormalYaz0"/>
        <w:tabs>
          <w:tab w:val="right" w:pos="8031"/>
        </w:tabs>
        <w:spacing w:before="113" w:after="113" w:line="240" w:lineRule="exact"/>
        <w:ind w:firstLine="567"/>
        <w:rPr>
          <w:b/>
          <w:sz w:val="18"/>
          <w:szCs w:val="18"/>
          <w:u w:val="single"/>
        </w:rPr>
      </w:pP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8/6/1949</w:t>
      </w:r>
      <w:proofErr w:type="gramEnd"/>
      <w:r>
        <w:rPr>
          <w:sz w:val="18"/>
          <w:szCs w:val="18"/>
        </w:rPr>
        <w:t xml:space="preserve"> tarihli ve 5434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Emekli Sand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Kanununun 89 uncu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MADDE 89 </w:t>
      </w:r>
      <w:r>
        <w:rPr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Kanun ve/veya </w:t>
      </w:r>
      <w:proofErr w:type="gramStart"/>
      <w:r>
        <w:rPr>
          <w:sz w:val="18"/>
          <w:szCs w:val="18"/>
        </w:rPr>
        <w:t>31/5/2006</w:t>
      </w:r>
      <w:proofErr w:type="gramEnd"/>
      <w:r>
        <w:rPr>
          <w:sz w:val="18"/>
          <w:szCs w:val="18"/>
        </w:rPr>
        <w:t xml:space="preserve"> tarihli ve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Sigortalar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enlerden emekli, adi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vazife malull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 veyahut toptan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asker ve sivil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ilere, her tam fiili hizmet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lamaya esas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emekli ikramiyesi olarak verilir.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girmemekle birlikte, bu Kanun ve/veya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hizmeti bulunanlardan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2829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Tabi Olarak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Hizmetlerin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8 inci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emeklilik,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 da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lananlara ise; bu Kanun veya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tabi olarak bu Kanuna tabi daire,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proofErr w:type="gramStart"/>
      <w:r>
        <w:rPr>
          <w:sz w:val="18"/>
          <w:szCs w:val="18"/>
        </w:rPr>
        <w:t>25/8/1971</w:t>
      </w:r>
      <w:proofErr w:type="gramEnd"/>
      <w:r>
        <w:rPr>
          <w:sz w:val="18"/>
          <w:szCs w:val="18"/>
        </w:rPr>
        <w:t xml:space="preserve"> tarihli ve 1475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belirtilen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dem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hak kazanma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sona 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emekli ikramiyesi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emekli ikramiyesi, bu Kanun veya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her tam fiili hizmet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tarihteki emeklilik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ve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tarihindeki katsay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2829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 ile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mlesinin bu maddeye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uygulanmaz.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verilecek emekli ikramiyesinin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30 fiili hizmet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fazla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2829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8 inci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lananlara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emeklilik ikramiyesinin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 Kanun veya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tabi olarak bu Kanuna tabi daire,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ve 1475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dem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denmesini gerektirmeyecek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sona eren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ve her ne suretle olursa olsun evvelce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sonu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mahiyette olmakla birlikte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adla tazminat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dem tazminat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emekli ikramiyesi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nmaz. </w:t>
      </w:r>
      <w:proofErr w:type="gramEnd"/>
      <w:r>
        <w:rPr>
          <w:sz w:val="18"/>
          <w:szCs w:val="18"/>
        </w:rPr>
        <w:t>Ancak,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2829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uygulanm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olmakla birlikte, bu Kanun veya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hali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bulunmayanlar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emekli ikramiyesine esas fiili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1475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aranmaz.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Emekli ikramiyesinin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tespitinde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emeklilik veya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herhangi bir sebeple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sona erenler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 sona erme sebebinin bu durumu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tlayan belgelerle birlikte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kuruma bildirilmesi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Bu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uymayanlar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lmazlar.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İş</w:t>
      </w:r>
      <w:r>
        <w:rPr>
          <w:sz w:val="18"/>
          <w:szCs w:val="18"/>
        </w:rPr>
        <w:t>tirak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ilerden, kanunlarla belirlenen bekleme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sonunda kadrosuzluk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haddi sebebiyle emekliye sevk edilenler ve vazife malull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vazife malull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lananlar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sebebiyle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emeklilik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uygulananlara; bu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hak kazand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 takip eden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emekli ikramiyesinin hesaplanmas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katsay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 meydana gelecek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nedeniyle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acak ikramiye farklar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ilk mali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katsay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unsurlarda meydana gelecek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a, bu tarihte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olan katsay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uygulanmak suretiyle bulunacak ikramiye farklar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emekli ikramiyesi ile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proofErr w:type="gramEnd"/>
      <w:r>
        <w:rPr>
          <w:sz w:val="18"/>
          <w:szCs w:val="18"/>
        </w:rPr>
        <w:t>Ancak, ayl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hak kazand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 takip eden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katsay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katsay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larda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ilk art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ikramiye farklar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bunlara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Emekli, adi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vazife malull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lanmadan veyahut toptan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hesaplanacak ikramiyenin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ayl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veya toptan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demeye hak kazanan dul ve yetimlere, bu Kanunun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68 inci maddesinde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sterilen hisseleriyle orant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Emekli ikramiyesini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 yeniden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durumuna girenlerin tekrar emekliye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sadece sonradan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hizmetlerine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emekli ikramiyesi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kadar ki, evvelce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ikramiye ile sonradan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hizmetler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tahakkuk ettirilecek ikramiyenin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fiili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releri </w:t>
      </w:r>
      <w:r>
        <w:rPr>
          <w:sz w:val="18"/>
          <w:szCs w:val="18"/>
        </w:rPr>
        <w:lastRenderedPageBreak/>
        <w:t>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30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fazla olamaz ve evvelce 30 hizmet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emekli ikramiyesi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olanlara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ikramiye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denmez.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Kanunun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88 inci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girenlerin emekli ikramiyeleri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Kurumunca tahakkuk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ettirilecek emekli ikramiyelerini almadan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lenler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tarihinde ayl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stahak dul ve yetim 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rakmadan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ikramiyeleri, kanuni miras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madde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Kurumunca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emekli ikramiyeleri,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zenlenecek fatura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Say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ve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kendi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emekliye sevk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tirilen, faaliyeti durdurulan, kapat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tasfiye edilen kamu idareleri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emekli ikramiyesi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ise, emekliye sevk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faturas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Hazine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demelerin, fatura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iki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Kurumuna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lenlerin hak sahiplerine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emekli ikramiyesinin tahsili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5434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GE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MADDE 223 </w:t>
      </w:r>
      <w:r>
        <w:rPr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2829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8 inci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emeklilik,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 da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lananlar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lenlerin hak sahiplerine, varsa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davalardan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meleri ve bu Kanunun 89 uncu maddesindeki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halinde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ve usuller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emekli ikramiyesi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proofErr w:type="gramEnd"/>
      <w:r>
        <w:rPr>
          <w:sz w:val="18"/>
          <w:szCs w:val="18"/>
        </w:rPr>
        <w:t>Davalardan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ilmesi halinde, mahkemelerce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lehine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kmedilecek </w:t>
      </w:r>
      <w:proofErr w:type="gramStart"/>
      <w:r>
        <w:rPr>
          <w:sz w:val="18"/>
          <w:szCs w:val="18"/>
        </w:rPr>
        <w:t>vekalet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Kurumca tahsil edilmez.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Bu Kanun veya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hizmeti bulunan ve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makta olanlardan,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sonra emeklilik,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ile dul ve yetim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olanlar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89 uncu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1475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aranmaz.</w:t>
      </w:r>
      <w:r>
        <w:rPr>
          <w:sz w:val="18"/>
          <w:szCs w:val="18"/>
        </w:rPr>
        <w:t>”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16/5/2006</w:t>
      </w:r>
      <w:proofErr w:type="gramEnd"/>
      <w:r>
        <w:rPr>
          <w:sz w:val="18"/>
          <w:szCs w:val="18"/>
        </w:rPr>
        <w:t xml:space="preserve"> tarihli ve 5502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Kurumu Kanununun 28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50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80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35 inci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Ancak ekonomik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kira bedellerini belirlemeye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yetkilidir.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31/5/2006</w:t>
      </w:r>
      <w:proofErr w:type="gramEnd"/>
      <w:r>
        <w:rPr>
          <w:sz w:val="18"/>
          <w:szCs w:val="18"/>
        </w:rPr>
        <w:t xml:space="preserve"> tarihli ve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Sigortalar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Cumhurba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 bulunanlar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maddeye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maddenin mevcut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revlerinde bulunanlara veya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herhangi bir sebeple sona erenlere, Kanunun 26, 28, 44,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2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hak kazanmalar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en az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 bulunmu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27, 29,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2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hesaplanacak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az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Cumhurba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denmekte olan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% 40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Cumhurba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42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emeklilik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emeklilik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emeklilik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 ile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haiz olmayanlar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emsal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sigorta primi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zorunludur.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tespit edilen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almakta iken ya da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revlerinin sona ermesinden sonra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lenlerin bu Kanunda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ullara sahip olan hak sahiplerine,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 bulunmu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 ve sigorta primi veya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bu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 edilen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ya da dul ve yetim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Ancak,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revlerinde bulunanlar ile bunlardan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lenlerin hak sahiplerine, 27, 29, 33,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2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hesaplanan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kse aradaki fark, Hazineden tahsil edilir.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madde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Cumhurba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denmekte olan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denekteki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yeniden hesaplanarak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 ve bu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55 inci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uygulanmaz.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60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mlesine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“üç</w:t>
      </w:r>
      <w:r>
        <w:rPr>
          <w:sz w:val="18"/>
          <w:szCs w:val="18"/>
        </w:rPr>
        <w:t>te birinin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64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(d) bendi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d) 63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miktar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belirlenmesi sonucunda Kurumca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65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Kurum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hallerde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hizmetlerini, hizmet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 ve kiralama gibi usullerle temin etmeye yetkilidir.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68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bendindeki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(b) ve (c) bentlerindeki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gereksiz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azaltma,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hizmetlerinin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hayati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neme sahip olup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prime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gelir ve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tler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% 10 il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 % 20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Kurumca belirlenir.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Kurum,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bendinde belirtilen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hizmetlerinde, aile hekimlerince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eteler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etede yer alan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kaleme/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kutuya kadar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/ila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3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ilave her bir kalem/kutu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uygulamaya yetkilidir.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kutu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enjektable</w:t>
      </w:r>
      <w:proofErr w:type="spellEnd"/>
      <w:r>
        <w:rPr>
          <w:sz w:val="18"/>
          <w:szCs w:val="18"/>
        </w:rPr>
        <w:t xml:space="preserve"> formlar, serum ve beslenme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ile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nmaz. </w:t>
      </w:r>
      <w:proofErr w:type="gramStart"/>
      <w:r>
        <w:rPr>
          <w:sz w:val="18"/>
          <w:szCs w:val="18"/>
        </w:rPr>
        <w:t>Kurum,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birinci basamak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muayenelerde almamaya ya da daha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 tutarlarda belirlemeye veya tekrar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belirlenen tutara getirmeye,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basamak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muayenelerde ise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edilen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sunucusunun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basamak,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hizmeti sunucusunun resmi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sunucusu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olup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basamaklardan sevkli olarak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vurulup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gibi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bulundurarak on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belirlemeye yetkilidir. </w:t>
      </w:r>
      <w:proofErr w:type="gramEnd"/>
      <w:r>
        <w:rPr>
          <w:sz w:val="18"/>
          <w:szCs w:val="18"/>
        </w:rPr>
        <w:t>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bendinde belirtilen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bedelinin %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ine kadar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 %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ine kadar tespit edilen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almamaya,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indirmeye Kurum yetkilidir. Kurum,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1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2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3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4/1/1961</w:t>
      </w:r>
      <w:proofErr w:type="gramEnd"/>
      <w:r>
        <w:rPr>
          <w:sz w:val="18"/>
          <w:szCs w:val="18"/>
        </w:rPr>
        <w:t xml:space="preserve"> tarihli ve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belirlenen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yetkilidir.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70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60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bendinin (1), (3) ve (9)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bentlerinde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Kurumla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niversite ve istisnai hallerde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edebilme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uygulamaya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102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Mahkeme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Kurumun denetim ve kontrol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tespitler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idarelerinin denetim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kendi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turma, denetim ve incelemelere ya da kamu idarelerinden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belgelere istinaden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bildirgenin veya belgenin yasal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tikten sonra ilgililerce kendili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verilmesi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ilgililerce,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tebligat tarihini takip eden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itibaren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halinde,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(a), (b), (g), (h) ve (j) bentlerinde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cezalar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rtte bir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gelen tutar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ek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EK MADDE 7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ile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atananlardan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halde,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emeklilik veya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hak kazanamayanlar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kisi,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revlerinin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uzun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revi sebebiyle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nemin bitimini izleyen </w:t>
      </w:r>
      <w:proofErr w:type="gramStart"/>
      <w:r>
        <w:rPr>
          <w:sz w:val="18"/>
          <w:szCs w:val="18"/>
        </w:rPr>
        <w:t>ay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</w:t>
      </w:r>
      <w:proofErr w:type="gram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kapsamda devam ettirilir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denecek sigorta primi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Kanunun 80 inci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belirlenen prime esas kazanc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hesaplanan sigorta prim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er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zenlenecek fatura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erken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dolduranlar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sigorta primi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denmesine son verilir.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ile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atananlardan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halde,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emeklilik veya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hak kazanamayan ve uzun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belirlenecek sigorta primine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Kanunun 80 inci maddesi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fiilen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tespit olunan prime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emeklilik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farka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sigorta primleri ile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farklar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belirlenecek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 usuller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Sigorta primlerinin,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uzun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makta iken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sona erenler ise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belirlenecek 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tarihinden itibaren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 ve esaslarla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daki birinci,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atand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halde,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emeklilik veya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hak kazanamayanlardan, Kanunun </w:t>
      </w:r>
      <w:r>
        <w:rPr>
          <w:sz w:val="18"/>
          <w:szCs w:val="18"/>
        </w:rPr>
        <w:lastRenderedPageBreak/>
        <w:t>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girenlerin, 5434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Emekli Sand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denmeye devam olunacak emekli kesenekleri ile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sigorta primlerinin veya emekli kesenekleri ile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uygulamadan bir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nemden fazla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lamaz.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madde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sigorta primleri veya emekli kesenekleri ile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emekli ikramiyesinin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esas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tespitinde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nmaz. </w:t>
      </w:r>
      <w:proofErr w:type="gramStart"/>
      <w:r>
        <w:rPr>
          <w:sz w:val="18"/>
          <w:szCs w:val="18"/>
        </w:rPr>
        <w:t>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bitimine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emeklilik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lanabilecek en erken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olan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fiili hizmet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 tamamlamam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sigorta primine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belirlenecek tutardan az olamaz. 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ile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atananlardan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halde,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da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emeklilik veya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hak kazanamayanlardan, uzun vadeli sigorta kollar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sigorta primine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emekli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belirlenecek tutardan az olamaz. </w:t>
      </w:r>
      <w:proofErr w:type="gramEnd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bu tutar ile Kanunun 80 inci maddesi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fiilen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tespit olunan prime esas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veya emeklilik kesene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esas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farka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kendileri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proofErr w:type="gramStart"/>
      <w:r>
        <w:rPr>
          <w:sz w:val="18"/>
          <w:szCs w:val="18"/>
        </w:rPr>
        <w:t>24/7/2003</w:t>
      </w:r>
      <w:proofErr w:type="gramEnd"/>
      <w:r>
        <w:rPr>
          <w:sz w:val="18"/>
          <w:szCs w:val="18"/>
        </w:rPr>
        <w:t xml:space="preserve"> tarihli ve 4956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48 inci maddesi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17/10/1983 tarihli ve 2926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2/8/2003 tarihi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sonuna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2008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Ekim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5434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emekli olup yine bu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serbest avukatl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noterlik yapanlar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destek primi kesilir.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GE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MADDE 37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19/5/2011</w:t>
      </w:r>
      <w:proofErr w:type="gramEnd"/>
      <w:r>
        <w:rPr>
          <w:sz w:val="18"/>
          <w:szCs w:val="18"/>
        </w:rPr>
        <w:t>, 23/10/2011 ve 9/11/2011 tarihlerinde meydana gelen depremler sonucunda malul kalan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me sebep olan deprem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en az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sigortalar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primi veya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kesenek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tescil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Kanunda belirtilen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relerinden kaynaklanan haller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deprem tarihlerinden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Kanunda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len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hizmet, prim ve prime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borcu olmama ve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Kurumca kendilerine veya hak sahiplerine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klarla ilgili Kanunda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prim veya kesenek ile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 olan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Kuruma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Bu konudaki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tespit edilir.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girenlerden depremler sonucunda yaralanan veya sakat kalanlara verilecek </w:t>
      </w:r>
      <w:proofErr w:type="gramStart"/>
      <w:r>
        <w:rPr>
          <w:sz w:val="18"/>
          <w:szCs w:val="18"/>
        </w:rPr>
        <w:t>protez</w:t>
      </w:r>
      <w:proofErr w:type="gram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ortez</w:t>
      </w:r>
      <w:proofErr w:type="spellEnd"/>
      <w:r>
        <w:rPr>
          <w:sz w:val="18"/>
          <w:szCs w:val="18"/>
        </w:rPr>
        <w:t>,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bedelleri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GE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MADDE 38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Bu Kanunun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maddesindeki % 42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yeni bir yasal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kadar % 45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bu Kanunun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 bulunmu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olanlardan herhangi bir sebeple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sona erenler ile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Meclisi, Millet Meclisi, Cumhuriyet Senatosu, Temsilciler Meclisi ve Dan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Meclisi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tarihi takip eden ayba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ndan itibaren bu Kanunun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itibariyle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revi devam edenler ile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yasama organ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sona 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olanlardan veya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atanm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olanlardan halen milletvekilli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emekli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denenlerin, bu Kanunun 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ayl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hak kazanabilmesinde,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mlesinde belirtilen 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aranmaz.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Millet Meclisi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atand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sona 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halde, malull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emeklilik 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hak kazanamayanlardan, bu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devam edenlerin veya bu kapsamda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 kurmalar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gerekenlerin bu sigortal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kisinden kaynaklanan emekli kesenekleri ve kurum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bu Kanunun ek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ile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esas ve usuller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ve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60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izleyen ayba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layarak 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Millet Meclisi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madde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geriye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 ve geriye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hak talep edilemez.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22/5/2003</w:t>
      </w:r>
      <w:proofErr w:type="gramEnd"/>
      <w:r>
        <w:rPr>
          <w:sz w:val="18"/>
          <w:szCs w:val="18"/>
        </w:rPr>
        <w:t xml:space="preserve">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Kanununun;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99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elli milyon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zon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b) 100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milyon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101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yediy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</w:t>
      </w:r>
      <w:proofErr w:type="spellEnd"/>
      <w:r>
        <w:rPr>
          <w:sz w:val="18"/>
          <w:szCs w:val="18"/>
        </w:rPr>
        <w:t xml:space="preserve"> milyon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binyediy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102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Yeni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zyirmibe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eklinde, (b) bendinde yer alan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milyon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eklinde, (c)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milyon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zyirmi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103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milyon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zyirmi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104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milyon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binikiy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zmilyon</w:t>
      </w:r>
      <w:proofErr w:type="spellEnd"/>
      <w:r>
        <w:rPr>
          <w:sz w:val="18"/>
          <w:szCs w:val="18"/>
        </w:rPr>
        <w:t xml:space="preserve"> lira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zyirmi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idari para cezas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f) 105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ve (b) bentlerinde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Yeni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ibareleri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eklinde, (c)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biner Yeni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binikiy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eklinde, (d) bendinde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bin Yeni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binikiy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proofErr w:type="spellEnd"/>
      <w:r>
        <w:rPr>
          <w:sz w:val="18"/>
          <w:szCs w:val="18"/>
        </w:rPr>
        <w:t xml:space="preserve"> Yeni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zelli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eklinde,</w:t>
      </w:r>
      <w:proofErr w:type="gramEnd"/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</w:t>
      </w:r>
      <w:proofErr w:type="gramEnd"/>
      <w:r>
        <w:rPr>
          <w:sz w:val="18"/>
          <w:szCs w:val="18"/>
        </w:rPr>
        <w:t>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21/9/2006</w:t>
      </w:r>
      <w:proofErr w:type="gramEnd"/>
      <w:r>
        <w:rPr>
          <w:sz w:val="18"/>
          <w:szCs w:val="18"/>
        </w:rPr>
        <w:t xml:space="preserve"> tarihli ve 5544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Meslek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Yeterlilik Kurumu Kanununun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“ç</w:t>
      </w:r>
      <w:r>
        <w:rPr>
          <w:sz w:val="18"/>
          <w:szCs w:val="18"/>
        </w:rPr>
        <w:t>) Kurumun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elde edece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gelirler.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5544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GE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>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MADDE 3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(1)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belirtilen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2007, 2008, 2009, 2010, 2011 ve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Kurum aidat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her bir Genel Kurul temsilcisi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olan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asgari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yirmi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Bu kapsamda yer alan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larca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llara ait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aidat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ile yeniden tespit edilen aidat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alacak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maz.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toplam aidat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aidatlar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tarihine kadar Kuruma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halinde aidat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gecikme zamm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gecikme faizi uygulanmaz.</w:t>
      </w:r>
      <w:r>
        <w:rPr>
          <w:sz w:val="18"/>
          <w:szCs w:val="18"/>
        </w:rPr>
        <w:t>”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Bu Kanunun;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14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</w:t>
      </w:r>
      <w:proofErr w:type="gramStart"/>
      <w:r>
        <w:rPr>
          <w:sz w:val="18"/>
          <w:szCs w:val="18"/>
        </w:rPr>
        <w:t>1/2/2012</w:t>
      </w:r>
      <w:proofErr w:type="gramEnd"/>
      <w:r>
        <w:rPr>
          <w:sz w:val="18"/>
          <w:szCs w:val="18"/>
        </w:rPr>
        <w:t xml:space="preserve"> tarihinde,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12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</w:t>
      </w:r>
      <w:proofErr w:type="gramStart"/>
      <w:r>
        <w:rPr>
          <w:sz w:val="18"/>
          <w:szCs w:val="18"/>
        </w:rPr>
        <w:t>1/3/2012</w:t>
      </w:r>
      <w:proofErr w:type="gramEnd"/>
      <w:r>
        <w:rPr>
          <w:sz w:val="18"/>
          <w:szCs w:val="18"/>
        </w:rPr>
        <w:t xml:space="preserve"> tarihinde,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5 ve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maddeleri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1/3/2012 tarihinde,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 </w:t>
      </w:r>
    </w:p>
    <w:p w:rsidR="0022355F" w:rsidRDefault="0022355F" w:rsidP="0022355F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Bakanlar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22355F" w:rsidRDefault="0022355F" w:rsidP="0022355F">
      <w:pPr>
        <w:pStyle w:val="3-NormalYaz0"/>
        <w:spacing w:line="240" w:lineRule="exact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25/1/2012</w:t>
      </w:r>
      <w:proofErr w:type="gramEnd"/>
    </w:p>
    <w:p w:rsidR="0022355F" w:rsidRDefault="0022355F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22355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355F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B96180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3825</Words>
  <Characters>21809</Characters>
  <Application>Microsoft Office Word</Application>
  <DocSecurity>0</DocSecurity>
  <Lines>181</Lines>
  <Paragraphs>51</Paragraphs>
  <ScaleCrop>false</ScaleCrop>
  <Company>TURMOB</Company>
  <LinksUpToDate>false</LinksUpToDate>
  <CharactersWithSpaces>25583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146</cp:revision>
  <dcterms:created xsi:type="dcterms:W3CDTF">2011-12-01T06:40:00Z</dcterms:created>
  <dcterms:modified xsi:type="dcterms:W3CDTF">2012-01-26T06:30:00Z</dcterms:modified>
</cp:coreProperties>
</file>