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1B10B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28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F6046" w:rsidRDefault="007F6046" w:rsidP="007F604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7F6046" w:rsidRDefault="007F6046" w:rsidP="007F6046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7F6046" w:rsidRDefault="007F6046" w:rsidP="007F604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TERSANE, TEKNE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MAL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EKEK YERLER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</w:t>
      </w:r>
    </w:p>
    <w:p w:rsidR="007F6046" w:rsidRDefault="007F6046" w:rsidP="007F6046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10/8/2008</w:t>
      </w:r>
      <w:proofErr w:type="gramEnd"/>
      <w:r>
        <w:rPr>
          <w:sz w:val="18"/>
          <w:szCs w:val="18"/>
        </w:rPr>
        <w:t xml:space="preserve"> tarihli ve 26963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Tersane, Tekne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mal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ekek Yerleri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655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ile 618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Limanlar Kanununun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(a),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), (e) ve (f)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(m)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Liman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tesisleri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bulunduran liman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dare: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izni: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tespit edilen Ek-3, Ek-4 ve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belirtilen asgari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kontrol edilip onaylanan tesislere verilen izni,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f)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izni: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darece tespit edilen Ek-3, Ek-4 </w:t>
      </w:r>
      <w:proofErr w:type="gramStart"/>
      <w:r>
        <w:rPr>
          <w:sz w:val="18"/>
          <w:szCs w:val="18"/>
        </w:rPr>
        <w:t>ve        Ek</w:t>
      </w:r>
      <w:proofErr w:type="gramEnd"/>
      <w:r>
        <w:rPr>
          <w:sz w:val="18"/>
          <w:szCs w:val="18"/>
        </w:rPr>
        <w:t>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belirtilen asgari kriterlere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kontrol edilip onaylanan tesislere verilen izni,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bendi,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bendi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vize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ilgili belediye veya Valilik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Mevcut tesisler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 halihaz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durumun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proofErr w:type="gramStart"/>
      <w:r>
        <w:rPr>
          <w:sz w:val="18"/>
          <w:szCs w:val="18"/>
        </w:rPr>
        <w:t>revizyon</w:t>
      </w:r>
      <w:proofErr w:type="gram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 Sermaye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makbuz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bilgi ve belgelerle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vurulur;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darece kurulacak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marifetiyle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incelenir.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kriterler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ilgili belediye veya </w:t>
      </w:r>
      <w:proofErr w:type="gramStart"/>
      <w:r>
        <w:rPr>
          <w:sz w:val="18"/>
          <w:szCs w:val="18"/>
        </w:rPr>
        <w:t>Valili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 de</w:t>
      </w:r>
      <w:proofErr w:type="gramEnd"/>
      <w:r>
        <w:rPr>
          <w:sz w:val="18"/>
          <w:szCs w:val="18"/>
        </w:rPr>
        <w:t xml:space="preserve"> tasdik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(3)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ve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onaylanmam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uygulama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revizyonu</w:t>
      </w:r>
      <w:proofErr w:type="gramEnd"/>
      <w:r>
        <w:rPr>
          <w:sz w:val="18"/>
          <w:szCs w:val="18"/>
        </w:rPr>
        <w:t xml:space="preserve"> talepleri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imar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onaylanmam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mlarla ilgili olarak,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verilecek olan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mahallinde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bildirilir.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d) Dolgu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uygulama projesine uygun olarak tamamland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dair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izni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izni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tesisler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Belgesi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Belgesi tesis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leticisine verilir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ilgili birimlerine bildirilir.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(5)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 havuzun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sunulan belgelere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marifetiyle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sonucunda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 Havuz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Tesis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leticisi,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istenen konularla ilgili olarak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 Sermaye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makbuzunu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ekler.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mahallinde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incelemede Ek-3, Ek-4,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yer alan </w:t>
      </w:r>
      <w:proofErr w:type="gramStart"/>
      <w:r>
        <w:rPr>
          <w:sz w:val="18"/>
          <w:szCs w:val="18"/>
        </w:rPr>
        <w:t>kriterlerden</w:t>
      </w:r>
      <w:proofErr w:type="gramEnd"/>
      <w:r>
        <w:rPr>
          <w:sz w:val="18"/>
          <w:szCs w:val="18"/>
        </w:rPr>
        <w:t xml:space="preserve"> tesisin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olan asgari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edilerek durum tespiti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(2)  Tesisin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kiraya verilmesi veya devredilmesi durumunda kirac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devralan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izin/i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izin belgesi yeniden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19 uncu maddesinin </w:t>
      </w:r>
      <w:proofErr w:type="spellStart"/>
      <w:r>
        <w:rPr>
          <w:sz w:val="18"/>
          <w:szCs w:val="18"/>
        </w:rPr>
        <w:t>onbirinci</w:t>
      </w:r>
      <w:proofErr w:type="spellEnd"/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on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(11)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izni iptal edilen veya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tesislerin, izinlerinin iptaline veya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neden olan sebeplerin ortadan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tesis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 talebin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gerekli izin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darece verilir.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(13) Tesisin Ek-3, Ek-4 ve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asgari </w:t>
      </w:r>
      <w:proofErr w:type="gramStart"/>
      <w:r>
        <w:rPr>
          <w:sz w:val="18"/>
          <w:szCs w:val="18"/>
        </w:rPr>
        <w:t>kriterlerden</w:t>
      </w:r>
      <w:proofErr w:type="gramEnd"/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beyan edilmesi halinde bu durum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f)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sabit ve hareketli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kullanan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rler tesisin daimi personeli olmak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kalifiye elemanlar, diplomal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/sertifikal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21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Gemi Sanayi Veritaban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(GSVP)</w:t>
      </w:r>
      <w:r>
        <w:rPr>
          <w:sz w:val="18"/>
          <w:szCs w:val="18"/>
        </w:rPr>
        <w:t>’</w:t>
      </w:r>
      <w:proofErr w:type="spellStart"/>
      <w:proofErr w:type="gram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 veri</w:t>
      </w:r>
      <w:proofErr w:type="gramEnd"/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bulunan tesislerin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yapmad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kontrol edilir.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(1) Tesis faaliyeti;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TDK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kez denetlenir.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GSVP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girilmemesi durumunda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yerine getirilmemesi ve bu durumun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tesisin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tirilmez.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maddesinin 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gram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Mevcut tesisler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izninin </w:t>
      </w:r>
      <w:proofErr w:type="gramStart"/>
      <w:r>
        <w:rPr>
          <w:sz w:val="18"/>
          <w:szCs w:val="18"/>
        </w:rPr>
        <w:t>10/8/2014</w:t>
      </w:r>
      <w:proofErr w:type="gramEnd"/>
      <w:r>
        <w:rPr>
          <w:sz w:val="18"/>
          <w:szCs w:val="18"/>
        </w:rPr>
        <w:t xml:space="preserve"> tarihine kadar,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izninin ise 10/8/2015 tarihine kadar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proofErr w:type="gramStart"/>
      <w:r>
        <w:rPr>
          <w:sz w:val="18"/>
          <w:szCs w:val="18"/>
        </w:rPr>
        <w:t>konstr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ksiyon</w:t>
      </w:r>
      <w:proofErr w:type="gramEnd"/>
      <w:r>
        <w:rPr>
          <w:sz w:val="18"/>
          <w:szCs w:val="18"/>
        </w:rPr>
        <w:t xml:space="preserve">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beton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 betonarme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konstr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ksiyon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klas </w:t>
      </w:r>
      <w:proofErr w:type="spellStart"/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rvey</w:t>
      </w:r>
      <w:proofErr w:type="spellEnd"/>
      <w:r>
        <w:rPr>
          <w:sz w:val="18"/>
          <w:szCs w:val="18"/>
        </w:rPr>
        <w:t xml:space="preserve"> uygunluk raporunun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bir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ibraz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 Mevcut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tarihine kadar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izin belgesi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sene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10/8/2015</w:t>
      </w:r>
      <w:proofErr w:type="gramEnd"/>
      <w:r>
        <w:rPr>
          <w:sz w:val="18"/>
          <w:szCs w:val="18"/>
        </w:rPr>
        <w:t xml:space="preserve"> tarihine kadar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12/10/2004 tarihinden sonra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13/2/2009 tarihinden sonra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29 uncu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sinin (6)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6)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proofErr w:type="gramStart"/>
      <w:r>
        <w:rPr>
          <w:sz w:val="18"/>
          <w:szCs w:val="18"/>
        </w:rPr>
        <w:t>konstr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ksiyon</w:t>
      </w:r>
      <w:proofErr w:type="gramEnd"/>
      <w:r>
        <w:rPr>
          <w:sz w:val="18"/>
          <w:szCs w:val="18"/>
        </w:rPr>
        <w:t xml:space="preserve">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beton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 betonarme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konstr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ksiyon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klas </w:t>
      </w:r>
      <w:proofErr w:type="spellStart"/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rvey</w:t>
      </w:r>
      <w:proofErr w:type="spellEnd"/>
      <w:r>
        <w:rPr>
          <w:sz w:val="18"/>
          <w:szCs w:val="18"/>
        </w:rPr>
        <w:t xml:space="preserve"> uygunluk raporu,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 havuzun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getirilmesi durumunda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sunulur.</w:t>
      </w:r>
      <w:r>
        <w:rPr>
          <w:sz w:val="18"/>
          <w:szCs w:val="18"/>
        </w:rPr>
        <w:t>”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Ek-6, Ek-7, Ek-8 ve Ek-9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F6046" w:rsidRDefault="007F6046" w:rsidP="007F6046">
      <w:pPr>
        <w:pStyle w:val="3-NormalYaz0"/>
        <w:spacing w:after="56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jc w:val="center"/>
        <w:rPr>
          <w:sz w:val="18"/>
          <w:szCs w:val="18"/>
        </w:rPr>
      </w:pPr>
    </w:p>
    <w:p w:rsidR="007F6046" w:rsidRDefault="007F6046" w:rsidP="007F6046">
      <w:pPr>
        <w:pStyle w:val="2-OrtaBaslk"/>
        <w:spacing w:line="24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Ek-1</w:t>
      </w:r>
    </w:p>
    <w:p w:rsidR="007F6046" w:rsidRDefault="007F6046" w:rsidP="007F6046">
      <w:pPr>
        <w:pStyle w:val="2-OrtaBaslk"/>
        <w:spacing w:line="240" w:lineRule="exact"/>
        <w:rPr>
          <w:b w:val="0"/>
          <w:sz w:val="18"/>
          <w:szCs w:val="18"/>
        </w:rPr>
      </w:pPr>
    </w:p>
    <w:p w:rsidR="007F6046" w:rsidRDefault="007F6046" w:rsidP="007F6046">
      <w:pPr>
        <w:pStyle w:val="2-OrtaBaslk"/>
        <w:spacing w:line="24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TES</w:t>
      </w:r>
      <w:r>
        <w:rPr>
          <w:b w:val="0"/>
          <w:sz w:val="18"/>
          <w:szCs w:val="18"/>
        </w:rPr>
        <w:t>İ</w:t>
      </w:r>
      <w:r>
        <w:rPr>
          <w:b w:val="0"/>
          <w:sz w:val="18"/>
          <w:szCs w:val="18"/>
        </w:rPr>
        <w:t>S ALANI ORGAN</w:t>
      </w:r>
      <w:r>
        <w:rPr>
          <w:b w:val="0"/>
          <w:sz w:val="18"/>
          <w:szCs w:val="18"/>
        </w:rPr>
        <w:t>İ</w:t>
      </w:r>
      <w:r>
        <w:rPr>
          <w:b w:val="0"/>
          <w:sz w:val="18"/>
          <w:szCs w:val="18"/>
        </w:rPr>
        <w:t>ZASYONU VE YERLE</w:t>
      </w:r>
      <w:r>
        <w:rPr>
          <w:b w:val="0"/>
          <w:sz w:val="18"/>
          <w:szCs w:val="18"/>
        </w:rPr>
        <w:t>Şİ</w:t>
      </w:r>
      <w:r>
        <w:rPr>
          <w:b w:val="0"/>
          <w:sz w:val="18"/>
          <w:szCs w:val="18"/>
        </w:rPr>
        <w:t>M PLANI KR</w:t>
      </w:r>
      <w:r>
        <w:rPr>
          <w:b w:val="0"/>
          <w:sz w:val="18"/>
          <w:szCs w:val="18"/>
        </w:rPr>
        <w:t>İ</w:t>
      </w:r>
      <w:r>
        <w:rPr>
          <w:b w:val="0"/>
          <w:sz w:val="18"/>
          <w:szCs w:val="18"/>
        </w:rPr>
        <w:t>TERLER</w:t>
      </w:r>
      <w:r>
        <w:rPr>
          <w:b w:val="0"/>
          <w:sz w:val="18"/>
          <w:szCs w:val="18"/>
        </w:rPr>
        <w:t>İ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 Plan;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Kriterleri,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Koordinat Listeleri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Pafta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(Ba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Pafta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 290 mm eninde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boyda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r.)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</w:t>
      </w:r>
      <w:proofErr w:type="gramStart"/>
      <w:r>
        <w:rPr>
          <w:sz w:val="18"/>
          <w:szCs w:val="18"/>
        </w:rPr>
        <w:t>.,</w:t>
      </w:r>
      <w:proofErr w:type="gramEnd"/>
      <w:r>
        <w:rPr>
          <w:sz w:val="18"/>
          <w:szCs w:val="18"/>
        </w:rPr>
        <w:t xml:space="preserve"> Pafta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esine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mar veya kadastro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izgisi ve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 parsel numara ve </w:t>
      </w:r>
      <w:r>
        <w:rPr>
          <w:sz w:val="18"/>
          <w:szCs w:val="18"/>
        </w:rPr>
        <w:lastRenderedPageBreak/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lenip, plandaki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levleri,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lejant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lenerek 1/1000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koordinat sisteminde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lye, idari ve sosyal tesisler,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zak, deniz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zaklar, iskele vb.) 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levleri,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kseklikleri sol alt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eye lejant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hisse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bilgileri de lejant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eklenir.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Koordinat Listeleri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parsel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 koordinatlar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sabit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 koordinatlar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Koordinat Sisteminde listesi,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koordinat sistemindeki koordinat listesine ek olarak;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koordinatlar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(enlem/boylam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eklinde)  listesi 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Pafta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Tesis talebinde bulunulan yerin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lgelerine olan durumunu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uygun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ekte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 plan,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bilgileri,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izenin ve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revi,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yetkilisinin imza ve ka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esi bulunur.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m; gemi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izim; Harita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hendisi, Mimar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planc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ve kontrol eden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revi,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onay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Tesis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(kat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mesafeleri) yetkili kurumca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tasdik edilir.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7) </w:t>
      </w:r>
      <w:proofErr w:type="gramStart"/>
      <w:r>
        <w:rPr>
          <w:sz w:val="18"/>
          <w:szCs w:val="18"/>
        </w:rPr>
        <w:t>Tesis  Alan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adet 1/1000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halinde bir adet 1/500 veya 1/2000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8) </w:t>
      </w:r>
      <w:proofErr w:type="gramStart"/>
      <w:r>
        <w:rPr>
          <w:sz w:val="18"/>
          <w:szCs w:val="18"/>
        </w:rPr>
        <w:t>Tesis  Alan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Organizasyonu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olarak, (*.</w:t>
      </w:r>
      <w:proofErr w:type="spellStart"/>
      <w:r>
        <w:rPr>
          <w:sz w:val="18"/>
          <w:szCs w:val="18"/>
        </w:rPr>
        <w:t>ncz</w:t>
      </w:r>
      <w:proofErr w:type="spellEnd"/>
      <w:r>
        <w:rPr>
          <w:sz w:val="18"/>
          <w:szCs w:val="18"/>
        </w:rPr>
        <w:t>), (*.</w:t>
      </w:r>
      <w:proofErr w:type="spellStart"/>
      <w:r>
        <w:rPr>
          <w:sz w:val="18"/>
          <w:szCs w:val="18"/>
        </w:rPr>
        <w:t>dwg</w:t>
      </w:r>
      <w:proofErr w:type="spellEnd"/>
      <w:r>
        <w:rPr>
          <w:sz w:val="18"/>
          <w:szCs w:val="18"/>
        </w:rPr>
        <w:t>, *.</w:t>
      </w:r>
      <w:proofErr w:type="spellStart"/>
      <w:r>
        <w:rPr>
          <w:sz w:val="18"/>
          <w:szCs w:val="18"/>
        </w:rPr>
        <w:t>dxf</w:t>
      </w:r>
      <w:proofErr w:type="spellEnd"/>
      <w:r>
        <w:rPr>
          <w:sz w:val="18"/>
          <w:szCs w:val="18"/>
        </w:rPr>
        <w:t>)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CD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 adet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rlanarak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sunulur.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racaatlarda,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yerin ili,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y/mah. pafta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esine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mar veya kadastro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mevcut ise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izgisi, kom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parsel numara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taslak plan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 Taslak planda, tesiste yer alacak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ebatlar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lejant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edilecek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taslak planda koordinatlar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belirtilmesine gerek yoktur. Sadece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edilen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koordinatlar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koordinat sisteminde taslak planda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Taslak planda,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izen, tasarlayan ve talep eden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 ve ka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esi haricinde,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ilgili belediyenin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7F6046" w:rsidRDefault="007F6046" w:rsidP="007F6046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7F6046" w:rsidRDefault="007F6046" w:rsidP="007F6046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7F6046" w:rsidRDefault="007F6046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7F604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7F6046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14A31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1/20120128-12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1867</Words>
  <Characters>10647</Characters>
  <Application>Microsoft Office Word</Application>
  <DocSecurity>0</DocSecurity>
  <Lines>88</Lines>
  <Paragraphs>24</Paragraphs>
  <ScaleCrop>false</ScaleCrop>
  <Company>TURMOB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150</cp:revision>
  <dcterms:created xsi:type="dcterms:W3CDTF">2011-12-01T06:40:00Z</dcterms:created>
  <dcterms:modified xsi:type="dcterms:W3CDTF">2012-01-30T06:24:00Z</dcterms:modified>
</cp:coreProperties>
</file>