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4F2" w:rsidRPr="00075AA2" w:rsidRDefault="00B24519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31</w:t>
      </w:r>
      <w:r w:rsidR="00E1189A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Ocak 2012</w:t>
      </w:r>
      <w:r w:rsidR="004E479F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,</w:t>
      </w:r>
      <w:r w:rsidR="004E479F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CC04AD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  </w:t>
      </w:r>
      <w:r w:rsidR="00B04D3D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  <w:t xml:space="preserve">               </w:t>
      </w:r>
      <w:r w:rsidR="00CC04AD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 S</w:t>
      </w:r>
      <w:r w:rsidR="004E479F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ayı: 281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90</w:t>
      </w:r>
    </w:p>
    <w:p w:rsidR="00E1189A" w:rsidRDefault="00E1189A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1755A2" w:rsidRDefault="001755A2" w:rsidP="001755A2">
      <w:pPr>
        <w:pStyle w:val="1-Baslk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Sermaye Piyasas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Kurulundan:</w:t>
      </w:r>
    </w:p>
    <w:p w:rsidR="001755A2" w:rsidRDefault="001755A2" w:rsidP="001755A2">
      <w:pPr>
        <w:pStyle w:val="2-OrtaBaslk"/>
        <w:spacing w:before="56" w:line="240" w:lineRule="exact"/>
        <w:rPr>
          <w:sz w:val="18"/>
          <w:szCs w:val="18"/>
        </w:rPr>
      </w:pPr>
      <w:r>
        <w:rPr>
          <w:sz w:val="18"/>
          <w:szCs w:val="18"/>
        </w:rPr>
        <w:t>GAYR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MENKUL YATIRIM ORTAKLIKLARINA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K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 ESASLAR</w:t>
      </w:r>
    </w:p>
    <w:p w:rsidR="001755A2" w:rsidRDefault="001755A2" w:rsidP="001755A2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TEBL</w:t>
      </w:r>
      <w:r>
        <w:rPr>
          <w:sz w:val="18"/>
          <w:szCs w:val="18"/>
        </w:rPr>
        <w:t>İĞİ</w:t>
      </w:r>
      <w:r>
        <w:rPr>
          <w:sz w:val="18"/>
          <w:szCs w:val="18"/>
        </w:rPr>
        <w:t>NDE DE</w:t>
      </w:r>
      <w:r>
        <w:rPr>
          <w:sz w:val="18"/>
          <w:szCs w:val="18"/>
        </w:rPr>
        <w:t>ĞİŞİ</w:t>
      </w:r>
      <w:r>
        <w:rPr>
          <w:sz w:val="18"/>
          <w:szCs w:val="18"/>
        </w:rPr>
        <w:t>KL</w:t>
      </w:r>
      <w:r>
        <w:rPr>
          <w:sz w:val="18"/>
          <w:szCs w:val="18"/>
        </w:rPr>
        <w:t>İ</w:t>
      </w:r>
      <w:r>
        <w:rPr>
          <w:sz w:val="18"/>
          <w:szCs w:val="18"/>
        </w:rPr>
        <w:t>K YAPILMASINA DA</w:t>
      </w:r>
      <w:r>
        <w:rPr>
          <w:sz w:val="18"/>
          <w:szCs w:val="18"/>
        </w:rPr>
        <w:t>İ</w:t>
      </w:r>
      <w:r>
        <w:rPr>
          <w:sz w:val="18"/>
          <w:szCs w:val="18"/>
        </w:rPr>
        <w:t>R TEBL</w:t>
      </w:r>
      <w:r>
        <w:rPr>
          <w:sz w:val="18"/>
          <w:szCs w:val="18"/>
        </w:rPr>
        <w:t>İĞ</w:t>
      </w:r>
    </w:p>
    <w:p w:rsidR="001755A2" w:rsidRDefault="001755A2" w:rsidP="001755A2">
      <w:pPr>
        <w:pStyle w:val="2-OrtaBaslk"/>
        <w:spacing w:after="170" w:line="240" w:lineRule="exact"/>
        <w:rPr>
          <w:sz w:val="18"/>
          <w:szCs w:val="18"/>
        </w:rPr>
      </w:pPr>
      <w:r>
        <w:rPr>
          <w:sz w:val="18"/>
          <w:szCs w:val="18"/>
        </w:rPr>
        <w:t>(SER</w:t>
      </w:r>
      <w:r>
        <w:rPr>
          <w:sz w:val="18"/>
          <w:szCs w:val="18"/>
        </w:rPr>
        <w:t>İ</w:t>
      </w:r>
      <w:r>
        <w:rPr>
          <w:sz w:val="18"/>
          <w:szCs w:val="18"/>
        </w:rPr>
        <w:t>: VI, NO: 32)</w:t>
      </w:r>
    </w:p>
    <w:p w:rsidR="001755A2" w:rsidRDefault="001755A2" w:rsidP="001755A2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MADDE 1 </w:t>
      </w:r>
      <w:r>
        <w:rPr>
          <w:b/>
          <w:bCs/>
          <w:sz w:val="18"/>
          <w:szCs w:val="18"/>
        </w:rPr>
        <w:t>–</w:t>
      </w:r>
      <w:r>
        <w:rPr>
          <w:sz w:val="18"/>
          <w:szCs w:val="18"/>
        </w:rPr>
        <w:t xml:space="preserve"> 8/11/1998 tarihli ve 23517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mlanan </w:t>
      </w:r>
      <w:proofErr w:type="gramStart"/>
      <w:r>
        <w:rPr>
          <w:sz w:val="18"/>
          <w:szCs w:val="18"/>
        </w:rPr>
        <w:t>Seri:VI</w:t>
      </w:r>
      <w:proofErr w:type="gramEnd"/>
      <w:r>
        <w:rPr>
          <w:sz w:val="18"/>
          <w:szCs w:val="18"/>
        </w:rPr>
        <w:t>, No:11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Gayrimenkul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Ortakl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Esaslar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inin 4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maddesinin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(b) ve (</w:t>
      </w:r>
      <w:r>
        <w:rPr>
          <w:sz w:val="18"/>
          <w:szCs w:val="18"/>
        </w:rPr>
        <w:t>ı</w:t>
      </w:r>
      <w:r>
        <w:rPr>
          <w:sz w:val="18"/>
          <w:szCs w:val="18"/>
        </w:rPr>
        <w:t>) bentleri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ve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maddenin (g) bendi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kten kald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1755A2" w:rsidRDefault="001755A2" w:rsidP="001755A2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sz w:val="18"/>
          <w:szCs w:val="18"/>
        </w:rPr>
        <w:t>b) Lider sermayedar: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/d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</w:t>
      </w:r>
      <w:r>
        <w:rPr>
          <w:sz w:val="18"/>
          <w:szCs w:val="18"/>
        </w:rPr>
        <w:t>üşü</w:t>
      </w:r>
      <w:r>
        <w:rPr>
          <w:sz w:val="18"/>
          <w:szCs w:val="18"/>
        </w:rPr>
        <w:t>m ve kayda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vurusu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nda, ortakl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kta tek ba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 xml:space="preserve">na veya </w:t>
      </w:r>
      <w:proofErr w:type="spellStart"/>
      <w:r>
        <w:rPr>
          <w:sz w:val="18"/>
          <w:szCs w:val="18"/>
        </w:rPr>
        <w:t>biraraya</w:t>
      </w:r>
      <w:proofErr w:type="spellEnd"/>
      <w:r>
        <w:rPr>
          <w:sz w:val="18"/>
          <w:szCs w:val="18"/>
        </w:rPr>
        <w:t xml:space="preserve"> gelmek suretiyle sermayenin asgari %20</w:t>
      </w:r>
      <w:r>
        <w:rPr>
          <w:sz w:val="18"/>
          <w:szCs w:val="18"/>
        </w:rPr>
        <w:t>’</w:t>
      </w:r>
      <w:r>
        <w:rPr>
          <w:sz w:val="18"/>
          <w:szCs w:val="18"/>
        </w:rPr>
        <w:t>si oran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pay sahibi olan ve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7 ve 8 inci maddelerinde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yan ortak ya da ortaklard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Ortakl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 ticaret unvan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rudan ismi veya unvan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veya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rudan olmasa da ortakl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 ticaret unvan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kendisi ile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izlenimini uyand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ran bir ibareye yer verilen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 veya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ilerin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lider sermayedar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zorunludur.</w:t>
      </w:r>
      <w:r>
        <w:rPr>
          <w:sz w:val="18"/>
          <w:szCs w:val="18"/>
        </w:rPr>
        <w:t>”</w:t>
      </w:r>
    </w:p>
    <w:p w:rsidR="001755A2" w:rsidRDefault="001755A2" w:rsidP="001755A2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“ı</w:t>
      </w:r>
      <w:r>
        <w:rPr>
          <w:sz w:val="18"/>
          <w:szCs w:val="18"/>
        </w:rPr>
        <w:t>) Portf</w:t>
      </w:r>
      <w:r>
        <w:rPr>
          <w:sz w:val="18"/>
          <w:szCs w:val="18"/>
        </w:rPr>
        <w:t>ö</w:t>
      </w:r>
      <w:r>
        <w:rPr>
          <w:sz w:val="18"/>
          <w:szCs w:val="18"/>
        </w:rPr>
        <w:t>y: Ortakl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 aktifinde bulundurulan gayrimenkuller, gayrimenkule dayal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projeler, gayrimenkule dayal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haklar, sermaye piyasas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borsa para piyasas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ters repo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lemleri,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 Liras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yabanc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para cinsinden mevduat/kat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 hesaplar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tiraklerden ve Kurulca uygun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len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varl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klardan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an malvarl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  <w:r>
        <w:rPr>
          <w:sz w:val="18"/>
          <w:szCs w:val="18"/>
        </w:rPr>
        <w:t>”</w:t>
      </w:r>
    </w:p>
    <w:p w:rsidR="001755A2" w:rsidRDefault="001755A2" w:rsidP="001755A2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16 </w:t>
      </w:r>
      <w:proofErr w:type="spellStart"/>
      <w:r>
        <w:rPr>
          <w:sz w:val="18"/>
          <w:szCs w:val="18"/>
        </w:rPr>
        <w:t>nc</w:t>
      </w:r>
      <w:r>
        <w:rPr>
          <w:sz w:val="18"/>
          <w:szCs w:val="18"/>
        </w:rPr>
        <w:t>ı</w:t>
      </w:r>
      <w:proofErr w:type="spellEnd"/>
      <w:r>
        <w:rPr>
          <w:sz w:val="18"/>
          <w:szCs w:val="18"/>
        </w:rPr>
        <w:t xml:space="preserve"> maddesinin ikinci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1755A2" w:rsidRDefault="001755A2" w:rsidP="001755A2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sz w:val="18"/>
          <w:szCs w:val="18"/>
        </w:rPr>
        <w:t>Ortakl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kta imtiyazl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paylar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mevcut olmamas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 lider sermayedar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ortakl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kta </w:t>
      </w:r>
      <w:proofErr w:type="gramStart"/>
      <w:r>
        <w:rPr>
          <w:sz w:val="18"/>
          <w:szCs w:val="18"/>
        </w:rPr>
        <w:t>hakim</w:t>
      </w:r>
      <w:proofErr w:type="gramEnd"/>
      <w:r>
        <w:rPr>
          <w:sz w:val="18"/>
          <w:szCs w:val="18"/>
        </w:rPr>
        <w:t xml:space="preserve"> ortak konumunda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bu konumunu 10 uncu maddenin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uyar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 ula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gereken asgari halka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oran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temsil eden paylar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halka arz suretiyle sat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resinin bitimini takip eden iki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boyunca korumas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gerekmektedir.</w:t>
      </w:r>
      <w:r>
        <w:rPr>
          <w:sz w:val="18"/>
          <w:szCs w:val="18"/>
        </w:rPr>
        <w:t>”</w:t>
      </w:r>
    </w:p>
    <w:p w:rsidR="001755A2" w:rsidRDefault="001755A2" w:rsidP="001755A2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18 inci maddesi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1755A2" w:rsidRDefault="001755A2" w:rsidP="001755A2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b/>
          <w:sz w:val="18"/>
          <w:szCs w:val="18"/>
        </w:rPr>
        <w:t xml:space="preserve">MADDE 18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netim ve denetim kurulu, Kurul d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zenlemeleri ile </w:t>
      </w:r>
      <w:proofErr w:type="spellStart"/>
      <w:r>
        <w:rPr>
          <w:sz w:val="18"/>
          <w:szCs w:val="18"/>
        </w:rPr>
        <w:t>TTK</w:t>
      </w:r>
      <w:r>
        <w:rPr>
          <w:sz w:val="18"/>
          <w:szCs w:val="18"/>
        </w:rPr>
        <w:t>’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proofErr w:type="spellEnd"/>
      <w:r>
        <w:rPr>
          <w:sz w:val="18"/>
          <w:szCs w:val="18"/>
        </w:rPr>
        <w:t xml:space="preserve"> ilgili maddeleri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evesinde se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ilir ve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 yapar.</w:t>
      </w:r>
      <w:r>
        <w:rPr>
          <w:sz w:val="18"/>
          <w:szCs w:val="18"/>
        </w:rPr>
        <w:t>”</w:t>
      </w:r>
    </w:p>
    <w:p w:rsidR="001755A2" w:rsidRDefault="001755A2" w:rsidP="001755A2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4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20 </w:t>
      </w:r>
      <w:proofErr w:type="spellStart"/>
      <w:r>
        <w:rPr>
          <w:sz w:val="18"/>
          <w:szCs w:val="18"/>
        </w:rPr>
        <w:t>nci</w:t>
      </w:r>
      <w:proofErr w:type="spellEnd"/>
      <w:r>
        <w:rPr>
          <w:sz w:val="18"/>
          <w:szCs w:val="18"/>
        </w:rPr>
        <w:t xml:space="preserve"> maddesi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1755A2" w:rsidRDefault="001755A2" w:rsidP="001755A2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b/>
          <w:sz w:val="18"/>
          <w:szCs w:val="18"/>
        </w:rPr>
        <w:t xml:space="preserve">MADDE 20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netim kurulu </w:t>
      </w:r>
      <w:r>
        <w:rPr>
          <w:sz w:val="18"/>
          <w:szCs w:val="18"/>
        </w:rPr>
        <w:t>ü</w:t>
      </w:r>
      <w:r>
        <w:rPr>
          <w:sz w:val="18"/>
          <w:szCs w:val="18"/>
        </w:rPr>
        <w:t>yeleri,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netim kurulunun alaca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 kararlarda taraf olan kimselerden Kurulca belirlenen </w:t>
      </w:r>
      <w:proofErr w:type="gramStart"/>
      <w:r>
        <w:rPr>
          <w:sz w:val="18"/>
          <w:szCs w:val="18"/>
        </w:rPr>
        <w:t>kriterlere</w:t>
      </w:r>
      <w:proofErr w:type="gramEnd"/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ba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ms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 olmamas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durumunda, bu hususu gerek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eleri ile birlikte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netim kuruluna bildirmek ve toplant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tutana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na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letmekle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r. Bu hususta </w:t>
      </w:r>
      <w:proofErr w:type="spellStart"/>
      <w:r>
        <w:rPr>
          <w:sz w:val="18"/>
          <w:szCs w:val="18"/>
        </w:rPr>
        <w:t>TTK</w:t>
      </w:r>
      <w:r>
        <w:rPr>
          <w:sz w:val="18"/>
          <w:szCs w:val="18"/>
        </w:rPr>
        <w:t>’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proofErr w:type="spellEnd"/>
      <w:r>
        <w:rPr>
          <w:sz w:val="18"/>
          <w:szCs w:val="18"/>
        </w:rPr>
        <w:t xml:space="preserve"> "M</w:t>
      </w:r>
      <w:r>
        <w:rPr>
          <w:sz w:val="18"/>
          <w:szCs w:val="18"/>
        </w:rPr>
        <w:t>ü</w:t>
      </w:r>
      <w:r>
        <w:rPr>
          <w:sz w:val="18"/>
          <w:szCs w:val="18"/>
        </w:rPr>
        <w:t>zakerelere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tirak edilmemesi"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332 </w:t>
      </w:r>
      <w:proofErr w:type="spellStart"/>
      <w:r>
        <w:rPr>
          <w:sz w:val="18"/>
          <w:szCs w:val="18"/>
        </w:rPr>
        <w:t>nci</w:t>
      </w:r>
      <w:proofErr w:type="spellEnd"/>
      <w:r>
        <w:rPr>
          <w:sz w:val="18"/>
          <w:szCs w:val="18"/>
        </w:rPr>
        <w:t xml:space="preserve"> maddesi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km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sakl</w:t>
      </w:r>
      <w:r>
        <w:rPr>
          <w:sz w:val="18"/>
          <w:szCs w:val="18"/>
        </w:rPr>
        <w:t>ı</w:t>
      </w:r>
      <w:r>
        <w:rPr>
          <w:sz w:val="18"/>
          <w:szCs w:val="18"/>
        </w:rPr>
        <w:t>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  <w:r>
        <w:rPr>
          <w:sz w:val="18"/>
          <w:szCs w:val="18"/>
        </w:rPr>
        <w:t>”</w:t>
      </w:r>
    </w:p>
    <w:p w:rsidR="001755A2" w:rsidRDefault="001755A2" w:rsidP="001755A2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5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22 </w:t>
      </w:r>
      <w:proofErr w:type="spellStart"/>
      <w:r>
        <w:rPr>
          <w:sz w:val="18"/>
          <w:szCs w:val="18"/>
        </w:rPr>
        <w:t>nci</w:t>
      </w:r>
      <w:proofErr w:type="spellEnd"/>
      <w:r>
        <w:rPr>
          <w:sz w:val="18"/>
          <w:szCs w:val="18"/>
        </w:rPr>
        <w:t xml:space="preserve"> maddesinin be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1755A2" w:rsidRDefault="001755A2" w:rsidP="001755A2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sz w:val="18"/>
          <w:szCs w:val="18"/>
        </w:rPr>
        <w:t>Ortakl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gayrimenkul </w:t>
      </w:r>
      <w:proofErr w:type="gramStart"/>
      <w:r>
        <w:rPr>
          <w:sz w:val="18"/>
          <w:szCs w:val="18"/>
        </w:rPr>
        <w:t>portf</w:t>
      </w:r>
      <w:r>
        <w:rPr>
          <w:sz w:val="18"/>
          <w:szCs w:val="18"/>
        </w:rPr>
        <w:t>ö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proofErr w:type="gramEnd"/>
      <w:r>
        <w:rPr>
          <w:sz w:val="18"/>
          <w:szCs w:val="18"/>
        </w:rPr>
        <w:t xml:space="preserve"> ile ilgili olarak,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kili taraflardan dan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hizmeti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halinde, bu hizmetler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dan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man 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irketlere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denecek komisyon ve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cretler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Kurulca 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belirlenebilir. Dan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man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 ile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letmeci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fat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ide birle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emez.</w:t>
      </w:r>
      <w:r>
        <w:rPr>
          <w:sz w:val="18"/>
          <w:szCs w:val="18"/>
        </w:rPr>
        <w:t>”</w:t>
      </w:r>
    </w:p>
    <w:p w:rsidR="001755A2" w:rsidRDefault="001755A2" w:rsidP="001755A2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6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25 inci maddesinin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(a) bendi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1755A2" w:rsidRDefault="001755A2" w:rsidP="001755A2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sz w:val="18"/>
          <w:szCs w:val="18"/>
        </w:rPr>
        <w:t>a) Sermaye piyasas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alabilir ve satabilir, borsa para piyasas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ters repo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lemi yapabilir,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 Liras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yabanc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para cinsinden mevduat/kat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 hesab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ç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rabilirler, sermaye piyasas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verebilirler, bu kapsamda, Kurulun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verme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d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zenlemelerinde belirtilen esaslar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evesinde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bir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me ile herhangi bir anda </w:t>
      </w:r>
      <w:proofErr w:type="gramStart"/>
      <w:r>
        <w:rPr>
          <w:sz w:val="18"/>
          <w:szCs w:val="18"/>
        </w:rPr>
        <w:t>portf</w:t>
      </w:r>
      <w:r>
        <w:rPr>
          <w:sz w:val="18"/>
          <w:szCs w:val="18"/>
        </w:rPr>
        <w:t>ö</w:t>
      </w:r>
      <w:r>
        <w:rPr>
          <w:sz w:val="18"/>
          <w:szCs w:val="18"/>
        </w:rPr>
        <w:t>ylerindeki</w:t>
      </w:r>
      <w:proofErr w:type="gramEnd"/>
      <w:r>
        <w:rPr>
          <w:sz w:val="18"/>
          <w:szCs w:val="18"/>
        </w:rPr>
        <w:t xml:space="preserve"> menkul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ymetlerin piyasa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erlerinin en fazla %25</w:t>
      </w:r>
      <w:r>
        <w:rPr>
          <w:sz w:val="18"/>
          <w:szCs w:val="18"/>
        </w:rPr>
        <w:t>’</w:t>
      </w:r>
      <w:r>
        <w:rPr>
          <w:sz w:val="18"/>
          <w:szCs w:val="18"/>
        </w:rPr>
        <w:t>i tutar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menkul 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ymetlerini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verebilirler,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verme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lemi en fazla 90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reyle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labilir, ortakl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portf</w:t>
      </w:r>
      <w:r>
        <w:rPr>
          <w:sz w:val="18"/>
          <w:szCs w:val="18"/>
        </w:rPr>
        <w:t>ö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nden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verme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lemi,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verilen menkul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ymetlerin en az %100</w:t>
      </w:r>
      <w:r>
        <w:rPr>
          <w:sz w:val="18"/>
          <w:szCs w:val="18"/>
        </w:rPr>
        <w:t>’ü</w:t>
      </w:r>
      <w:r>
        <w:rPr>
          <w:sz w:val="18"/>
          <w:szCs w:val="18"/>
        </w:rPr>
        <w:t xml:space="preserve">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nda nakit veya devlet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bor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lanma senetlerinden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abilecek teminat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ortakl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saklay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da bloke edilmesi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labilir, teminat tutar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verilen menkul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ymetlerin piyasa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erinin %80</w:t>
      </w:r>
      <w:r>
        <w:rPr>
          <w:sz w:val="18"/>
          <w:szCs w:val="18"/>
        </w:rPr>
        <w:t>’</w:t>
      </w:r>
      <w:r>
        <w:rPr>
          <w:sz w:val="18"/>
          <w:szCs w:val="18"/>
        </w:rPr>
        <w:t>inin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d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mesi halinde ortakl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teminat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tamamlanmas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istemesi gereklidir, ortakl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 taraf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u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verme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melerine, ortakl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lehine tek tarafl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menin </w:t>
      </w:r>
      <w:proofErr w:type="spellStart"/>
      <w:r>
        <w:rPr>
          <w:sz w:val="18"/>
          <w:szCs w:val="18"/>
        </w:rPr>
        <w:t>fesh</w:t>
      </w:r>
      <w:proofErr w:type="spellEnd"/>
      <w:r>
        <w:rPr>
          <w:sz w:val="18"/>
          <w:szCs w:val="18"/>
        </w:rPr>
        <w:t xml:space="preserve"> edilebilece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bir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km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konulmas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mecburidir,</w:t>
      </w:r>
      <w:r>
        <w:rPr>
          <w:sz w:val="18"/>
          <w:szCs w:val="18"/>
        </w:rPr>
        <w:t>”</w:t>
      </w:r>
    </w:p>
    <w:p w:rsidR="001755A2" w:rsidRDefault="001755A2" w:rsidP="001755A2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7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27 </w:t>
      </w:r>
      <w:proofErr w:type="spellStart"/>
      <w:r>
        <w:rPr>
          <w:sz w:val="18"/>
          <w:szCs w:val="18"/>
        </w:rPr>
        <w:t>nci</w:t>
      </w:r>
      <w:proofErr w:type="spellEnd"/>
      <w:r>
        <w:rPr>
          <w:sz w:val="18"/>
          <w:szCs w:val="18"/>
        </w:rPr>
        <w:t xml:space="preserve"> maddesinin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(b) bendi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1755A2" w:rsidRDefault="001755A2" w:rsidP="001755A2">
      <w:pPr>
        <w:pStyle w:val="3-NormalYaz0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“</w:t>
      </w:r>
      <w:r>
        <w:rPr>
          <w:sz w:val="18"/>
          <w:szCs w:val="18"/>
        </w:rPr>
        <w:t>b)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25 inci maddesinin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(a) bendinde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varl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 ile 32/A maddesinde belirtilen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tiraklerin tamam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en fazla aktif toplam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% 50</w:t>
      </w:r>
      <w:r>
        <w:rPr>
          <w:sz w:val="18"/>
          <w:szCs w:val="18"/>
        </w:rPr>
        <w:t>’</w:t>
      </w:r>
      <w:r>
        <w:rPr>
          <w:sz w:val="18"/>
          <w:szCs w:val="18"/>
        </w:rPr>
        <w:t>si oran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nda, bu varl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erisinde yer alan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ama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 Liras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yabanc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para cinsinden mevduat/kat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 hesab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ise en fazla aktif toplam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% 10</w:t>
      </w:r>
      <w:r>
        <w:rPr>
          <w:sz w:val="18"/>
          <w:szCs w:val="18"/>
        </w:rPr>
        <w:t>’</w:t>
      </w:r>
      <w:r>
        <w:rPr>
          <w:sz w:val="18"/>
          <w:szCs w:val="18"/>
        </w:rPr>
        <w:t>u oran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 yapabilirler. </w:t>
      </w:r>
      <w:proofErr w:type="gramEnd"/>
      <w:r>
        <w:rPr>
          <w:sz w:val="18"/>
          <w:szCs w:val="18"/>
        </w:rPr>
        <w:t>Portf</w:t>
      </w:r>
      <w:r>
        <w:rPr>
          <w:sz w:val="18"/>
          <w:szCs w:val="18"/>
        </w:rPr>
        <w:t>ö</w:t>
      </w:r>
      <w:r>
        <w:rPr>
          <w:sz w:val="18"/>
          <w:szCs w:val="18"/>
        </w:rPr>
        <w:t>ye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nan varl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veya projelerin maliyetlerine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kin bedel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demeleri belirli </w:t>
      </w:r>
      <w:proofErr w:type="spellStart"/>
      <w:r>
        <w:rPr>
          <w:sz w:val="18"/>
          <w:szCs w:val="18"/>
        </w:rPr>
        <w:t>hakedi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</w:t>
      </w:r>
      <w:proofErr w:type="spellEnd"/>
      <w:r>
        <w:rPr>
          <w:sz w:val="18"/>
          <w:szCs w:val="18"/>
        </w:rPr>
        <w:t xml:space="preserve">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nda veya taksitler halinde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yorsa, bunlara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gelen nakit fazlalar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da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25 inci maddesinin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(a) bendinde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varl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yla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erlendirilebilir. Finansal tablolar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ve takip eden iki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erisinde bu kapsamda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harcamalar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tutar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% 50 oran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hesaplanmas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portf</w:t>
      </w:r>
      <w:r>
        <w:rPr>
          <w:sz w:val="18"/>
          <w:szCs w:val="18"/>
        </w:rPr>
        <w:t>ö</w:t>
      </w:r>
      <w:r>
        <w:rPr>
          <w:sz w:val="18"/>
          <w:szCs w:val="18"/>
        </w:rPr>
        <w:t>yde yer alan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25 inci maddesinin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(a) bendinde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varl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toplam tutar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indirilir ve bu maddenin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(a) bendi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lacak hesaplamaya </w:t>
      </w:r>
      <w:proofErr w:type="gramStart"/>
      <w:r>
        <w:rPr>
          <w:sz w:val="18"/>
          <w:szCs w:val="18"/>
        </w:rPr>
        <w:t>dahil</w:t>
      </w:r>
      <w:proofErr w:type="gramEnd"/>
      <w:r>
        <w:rPr>
          <w:sz w:val="18"/>
          <w:szCs w:val="18"/>
        </w:rPr>
        <w:t xml:space="preserve"> edilir. Ancak, finansal tablonun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tarihten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nceki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nemlere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planlanan harcamalardan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tirilmemi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olanlar, indirim konusu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lamaz. Belirtilen indirimin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labilmesi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projenin finansal tablolara </w:t>
      </w:r>
      <w:proofErr w:type="gramStart"/>
      <w:r>
        <w:rPr>
          <w:sz w:val="18"/>
          <w:szCs w:val="18"/>
        </w:rPr>
        <w:t>dahil</w:t>
      </w:r>
      <w:proofErr w:type="gramEnd"/>
      <w:r>
        <w:rPr>
          <w:sz w:val="18"/>
          <w:szCs w:val="18"/>
        </w:rPr>
        <w:t xml:space="preserve"> edilmesinden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nce, projenin tamamlanmas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kadar olan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planlanan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harcama tutarlar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lastRenderedPageBreak/>
        <w:t>Kurula bildirilir. Harcamalara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planlarda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iklikler nedeniyle, % 50 oran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hesaplanmas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dikkate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zere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nceden Kurula bildirilmi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olan tutar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tirilmesi Kurul iznine tabidir.</w:t>
      </w:r>
      <w:r>
        <w:rPr>
          <w:sz w:val="18"/>
          <w:szCs w:val="18"/>
        </w:rPr>
        <w:t>”</w:t>
      </w:r>
    </w:p>
    <w:p w:rsidR="001755A2" w:rsidRDefault="001755A2" w:rsidP="001755A2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8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35 inci maddesinin </w:t>
      </w: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1755A2" w:rsidRDefault="001755A2" w:rsidP="001755A2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sz w:val="18"/>
          <w:szCs w:val="18"/>
        </w:rPr>
        <w:t>Ortakl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klar, </w:t>
      </w:r>
      <w:proofErr w:type="gramStart"/>
      <w:r>
        <w:rPr>
          <w:sz w:val="18"/>
          <w:szCs w:val="18"/>
        </w:rPr>
        <w:t>portf</w:t>
      </w:r>
      <w:r>
        <w:rPr>
          <w:sz w:val="18"/>
          <w:szCs w:val="18"/>
        </w:rPr>
        <w:t>ö</w:t>
      </w:r>
      <w:r>
        <w:rPr>
          <w:sz w:val="18"/>
          <w:szCs w:val="18"/>
        </w:rPr>
        <w:t>ydeki</w:t>
      </w:r>
      <w:proofErr w:type="gramEnd"/>
      <w:r>
        <w:rPr>
          <w:sz w:val="18"/>
          <w:szCs w:val="18"/>
        </w:rPr>
        <w:t xml:space="preserve"> gayrimenkullerin sat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veya sat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vaadi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meleri ile sat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ndan kaynaklanan senetli alacaklar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kira gelirlerinin teminat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ve Kurul d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zenlemeleri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evesinde varl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teminatl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menkul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ymet ihra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edebilirler.</w:t>
      </w:r>
      <w:r>
        <w:rPr>
          <w:sz w:val="18"/>
          <w:szCs w:val="18"/>
        </w:rPr>
        <w:t>”</w:t>
      </w:r>
    </w:p>
    <w:p w:rsidR="001755A2" w:rsidRDefault="001755A2" w:rsidP="001755A2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9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tarihinde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girer.</w:t>
      </w:r>
    </w:p>
    <w:p w:rsidR="001755A2" w:rsidRDefault="001755A2" w:rsidP="001755A2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10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mlerini Sermaye Piyasas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Kurulu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r.</w:t>
      </w:r>
    </w:p>
    <w:p w:rsidR="001755A2" w:rsidRDefault="001755A2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sectPr w:rsidR="001755A2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ヒラギノ明朝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E2311"/>
    <w:multiLevelType w:val="hybridMultilevel"/>
    <w:tmpl w:val="0BAAC5B4"/>
    <w:lvl w:ilvl="0" w:tplc="C1B02538">
      <w:start w:val="1"/>
      <w:numFmt w:val="bullet"/>
      <w:lvlText w:val=""/>
      <w:lvlJc w:val="left"/>
      <w:pPr>
        <w:tabs>
          <w:tab w:val="num" w:pos="964"/>
        </w:tabs>
        <w:ind w:left="0" w:firstLine="567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E284D70"/>
    <w:multiLevelType w:val="hybridMultilevel"/>
    <w:tmpl w:val="06CE66E8"/>
    <w:lvl w:ilvl="0" w:tplc="52DC2E1C">
      <w:start w:val="1"/>
      <w:numFmt w:val="lowerLetter"/>
      <w:lvlText w:val="%1)"/>
      <w:lvlJc w:val="left"/>
      <w:pPr>
        <w:ind w:left="927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A177A0"/>
    <w:multiLevelType w:val="hybridMultilevel"/>
    <w:tmpl w:val="09B81CAA"/>
    <w:lvl w:ilvl="0" w:tplc="17B259E4">
      <w:start w:val="1"/>
      <w:numFmt w:val="lowerLetter"/>
      <w:lvlText w:val="%1)"/>
      <w:lvlJc w:val="left"/>
      <w:pPr>
        <w:ind w:left="855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2B7035"/>
    <w:multiLevelType w:val="hybridMultilevel"/>
    <w:tmpl w:val="501CB74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C74FA9"/>
    <w:multiLevelType w:val="hybridMultilevel"/>
    <w:tmpl w:val="04105732"/>
    <w:lvl w:ilvl="0" w:tplc="A6B0170E">
      <w:start w:val="1"/>
      <w:numFmt w:val="lowerLetter"/>
      <w:lvlText w:val="%1)"/>
      <w:lvlJc w:val="left"/>
      <w:pPr>
        <w:ind w:left="904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66D23"/>
    <w:rsid w:val="00027424"/>
    <w:rsid w:val="00031A95"/>
    <w:rsid w:val="00037146"/>
    <w:rsid w:val="0003769D"/>
    <w:rsid w:val="00054A02"/>
    <w:rsid w:val="000641A0"/>
    <w:rsid w:val="00075AA2"/>
    <w:rsid w:val="000824A8"/>
    <w:rsid w:val="00086CEC"/>
    <w:rsid w:val="00093CA5"/>
    <w:rsid w:val="000A43A9"/>
    <w:rsid w:val="000C76D1"/>
    <w:rsid w:val="000C7FFB"/>
    <w:rsid w:val="00114901"/>
    <w:rsid w:val="00125F74"/>
    <w:rsid w:val="0016162A"/>
    <w:rsid w:val="00162897"/>
    <w:rsid w:val="0017427E"/>
    <w:rsid w:val="001743BE"/>
    <w:rsid w:val="001755A2"/>
    <w:rsid w:val="0018454D"/>
    <w:rsid w:val="00194CA3"/>
    <w:rsid w:val="001A04F3"/>
    <w:rsid w:val="001B10B0"/>
    <w:rsid w:val="001B22A8"/>
    <w:rsid w:val="001D3F8C"/>
    <w:rsid w:val="001D56DC"/>
    <w:rsid w:val="001F59A5"/>
    <w:rsid w:val="002039B6"/>
    <w:rsid w:val="002201FD"/>
    <w:rsid w:val="0022355F"/>
    <w:rsid w:val="00225B70"/>
    <w:rsid w:val="002659CB"/>
    <w:rsid w:val="00266B2E"/>
    <w:rsid w:val="002A2741"/>
    <w:rsid w:val="002A4077"/>
    <w:rsid w:val="002C1E2B"/>
    <w:rsid w:val="002C33C3"/>
    <w:rsid w:val="002C4909"/>
    <w:rsid w:val="002F1C9B"/>
    <w:rsid w:val="002F642E"/>
    <w:rsid w:val="0032170A"/>
    <w:rsid w:val="003328CF"/>
    <w:rsid w:val="0036378D"/>
    <w:rsid w:val="003C0BDA"/>
    <w:rsid w:val="003C1AA1"/>
    <w:rsid w:val="003C6B5B"/>
    <w:rsid w:val="003D11AA"/>
    <w:rsid w:val="003E1EF7"/>
    <w:rsid w:val="003E24F2"/>
    <w:rsid w:val="003F3B72"/>
    <w:rsid w:val="0042083B"/>
    <w:rsid w:val="004232F2"/>
    <w:rsid w:val="004354B0"/>
    <w:rsid w:val="00436459"/>
    <w:rsid w:val="004406C9"/>
    <w:rsid w:val="00444025"/>
    <w:rsid w:val="0045064D"/>
    <w:rsid w:val="00451252"/>
    <w:rsid w:val="004612B2"/>
    <w:rsid w:val="004D02A3"/>
    <w:rsid w:val="004D66C1"/>
    <w:rsid w:val="004E3B12"/>
    <w:rsid w:val="004E479F"/>
    <w:rsid w:val="004F4657"/>
    <w:rsid w:val="005436B7"/>
    <w:rsid w:val="005552F4"/>
    <w:rsid w:val="005664C6"/>
    <w:rsid w:val="005802D5"/>
    <w:rsid w:val="005D0A80"/>
    <w:rsid w:val="005E0A94"/>
    <w:rsid w:val="00605984"/>
    <w:rsid w:val="00607B61"/>
    <w:rsid w:val="00627628"/>
    <w:rsid w:val="00650144"/>
    <w:rsid w:val="0065709A"/>
    <w:rsid w:val="00687CF1"/>
    <w:rsid w:val="007022B1"/>
    <w:rsid w:val="00711DD2"/>
    <w:rsid w:val="00714313"/>
    <w:rsid w:val="0072477E"/>
    <w:rsid w:val="0072577F"/>
    <w:rsid w:val="00746240"/>
    <w:rsid w:val="007533DA"/>
    <w:rsid w:val="00762DB4"/>
    <w:rsid w:val="007673D4"/>
    <w:rsid w:val="0079788A"/>
    <w:rsid w:val="007A1A28"/>
    <w:rsid w:val="007B29B1"/>
    <w:rsid w:val="007C1A5A"/>
    <w:rsid w:val="007C2FDC"/>
    <w:rsid w:val="007C5FE3"/>
    <w:rsid w:val="007D197D"/>
    <w:rsid w:val="007E07E4"/>
    <w:rsid w:val="008126F8"/>
    <w:rsid w:val="0084367F"/>
    <w:rsid w:val="0087210F"/>
    <w:rsid w:val="008A6CF4"/>
    <w:rsid w:val="008B03F2"/>
    <w:rsid w:val="009036DC"/>
    <w:rsid w:val="0090404D"/>
    <w:rsid w:val="009117F9"/>
    <w:rsid w:val="00945163"/>
    <w:rsid w:val="00945CBE"/>
    <w:rsid w:val="0096230B"/>
    <w:rsid w:val="00973A80"/>
    <w:rsid w:val="00A34212"/>
    <w:rsid w:val="00A41744"/>
    <w:rsid w:val="00A41E4C"/>
    <w:rsid w:val="00A74E8A"/>
    <w:rsid w:val="00A81CDA"/>
    <w:rsid w:val="00A916CE"/>
    <w:rsid w:val="00AA3186"/>
    <w:rsid w:val="00AC1AC1"/>
    <w:rsid w:val="00AF4D65"/>
    <w:rsid w:val="00B04D3D"/>
    <w:rsid w:val="00B24519"/>
    <w:rsid w:val="00B27B5E"/>
    <w:rsid w:val="00B605BA"/>
    <w:rsid w:val="00B879FA"/>
    <w:rsid w:val="00B93706"/>
    <w:rsid w:val="00B96180"/>
    <w:rsid w:val="00C33576"/>
    <w:rsid w:val="00C376C1"/>
    <w:rsid w:val="00C420A0"/>
    <w:rsid w:val="00C53D56"/>
    <w:rsid w:val="00C66D23"/>
    <w:rsid w:val="00CA0C61"/>
    <w:rsid w:val="00CA44B6"/>
    <w:rsid w:val="00CC04AD"/>
    <w:rsid w:val="00CC5605"/>
    <w:rsid w:val="00CE3FAA"/>
    <w:rsid w:val="00CE551E"/>
    <w:rsid w:val="00D85BD0"/>
    <w:rsid w:val="00DB0218"/>
    <w:rsid w:val="00DC7993"/>
    <w:rsid w:val="00DF4B9B"/>
    <w:rsid w:val="00E1189A"/>
    <w:rsid w:val="00E310DF"/>
    <w:rsid w:val="00E315F1"/>
    <w:rsid w:val="00E324F9"/>
    <w:rsid w:val="00EB4906"/>
    <w:rsid w:val="00EF35E8"/>
    <w:rsid w:val="00F017A2"/>
    <w:rsid w:val="00F24BA0"/>
    <w:rsid w:val="00F53F28"/>
    <w:rsid w:val="00F70FEF"/>
    <w:rsid w:val="00F843E9"/>
    <w:rsid w:val="00FB1BA4"/>
    <w:rsid w:val="00FC3C7D"/>
    <w:rsid w:val="00FC4DAE"/>
    <w:rsid w:val="00FD3809"/>
    <w:rsid w:val="00FF0851"/>
    <w:rsid w:val="00FF3F06"/>
    <w:rsid w:val="00FF7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E118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qFormat/>
    <w:rsid w:val="00A41744"/>
    <w:pPr>
      <w:keepNext/>
      <w:spacing w:after="120" w:line="240" w:lineRule="auto"/>
      <w:ind w:firstLine="567"/>
      <w:jc w:val="both"/>
      <w:outlineLvl w:val="1"/>
    </w:pPr>
    <w:rPr>
      <w:rFonts w:ascii="Times New Roman" w:eastAsia="Times New Roman" w:hAnsi="Times New Roman" w:cs="Arial"/>
      <w:b/>
      <w:bCs/>
      <w:iCs/>
      <w:caps/>
      <w:sz w:val="26"/>
      <w:szCs w:val="26"/>
      <w:lang w:eastAsia="tr-TR"/>
    </w:rPr>
  </w:style>
  <w:style w:type="paragraph" w:styleId="Balk3">
    <w:name w:val="heading 3"/>
    <w:basedOn w:val="Normal"/>
    <w:next w:val="Normal"/>
    <w:link w:val="Balk3Char"/>
    <w:uiPriority w:val="9"/>
    <w:qFormat/>
    <w:rsid w:val="00A41744"/>
    <w:pPr>
      <w:keepNext/>
      <w:tabs>
        <w:tab w:val="left" w:pos="851"/>
      </w:tabs>
      <w:spacing w:after="120" w:line="240" w:lineRule="auto"/>
      <w:ind w:firstLine="567"/>
      <w:jc w:val="both"/>
      <w:outlineLvl w:val="2"/>
    </w:pPr>
    <w:rPr>
      <w:rFonts w:ascii="Times New Roman" w:eastAsia="Times New Roman" w:hAnsi="Times New Roman" w:cs="Arial"/>
      <w:b/>
      <w:bCs/>
      <w:sz w:val="26"/>
      <w:szCs w:val="26"/>
      <w:lang w:eastAsia="tr-TR"/>
    </w:rPr>
  </w:style>
  <w:style w:type="paragraph" w:styleId="Balk4">
    <w:name w:val="heading 4"/>
    <w:basedOn w:val="Normal"/>
    <w:next w:val="Normal"/>
    <w:link w:val="Balk4Char"/>
    <w:uiPriority w:val="9"/>
    <w:qFormat/>
    <w:rsid w:val="00E1189A"/>
    <w:pPr>
      <w:keepNext/>
      <w:tabs>
        <w:tab w:val="left" w:pos="6840"/>
      </w:tabs>
      <w:spacing w:after="0" w:line="240" w:lineRule="auto"/>
      <w:ind w:firstLine="720"/>
      <w:jc w:val="both"/>
      <w:outlineLvl w:val="3"/>
    </w:pPr>
    <w:rPr>
      <w:rFonts w:ascii="Times New Roman" w:eastAsia="Arial Unicode MS" w:hAnsi="Times New Roman" w:cs="Times New Roman"/>
      <w:b/>
      <w:bCs/>
      <w:szCs w:val="24"/>
      <w:u w:val="single"/>
      <w:lang w:eastAsia="tr-TR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B10B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B10B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B10B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66D23"/>
    <w:pPr>
      <w:spacing w:after="0" w:line="240" w:lineRule="atLeast"/>
      <w:jc w:val="both"/>
    </w:pPr>
    <w:rPr>
      <w:rFonts w:ascii="Verdana" w:eastAsia="Times New Roman" w:hAnsi="Verdana" w:cs="Times New Roman"/>
      <w:color w:val="000000"/>
      <w:sz w:val="15"/>
      <w:szCs w:val="15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CE3FAA"/>
    <w:rPr>
      <w:strike w:val="0"/>
      <w:dstrike w:val="0"/>
      <w:color w:val="0000FF"/>
      <w:u w:val="none"/>
      <w:effect w:val="none"/>
    </w:rPr>
  </w:style>
  <w:style w:type="paragraph" w:customStyle="1" w:styleId="3-normalyaz">
    <w:name w:val="3-normalyaz"/>
    <w:basedOn w:val="Normal"/>
    <w:rsid w:val="00CE3FAA"/>
    <w:pPr>
      <w:spacing w:after="0" w:line="240" w:lineRule="atLeast"/>
      <w:jc w:val="both"/>
    </w:pPr>
    <w:rPr>
      <w:rFonts w:ascii="Verdana" w:eastAsia="Times New Roman" w:hAnsi="Verdana" w:cs="Times New Roman"/>
      <w:color w:val="000000"/>
      <w:sz w:val="15"/>
      <w:szCs w:val="15"/>
      <w:lang w:eastAsia="tr-TR"/>
    </w:rPr>
  </w:style>
  <w:style w:type="character" w:customStyle="1" w:styleId="grame">
    <w:name w:val="grame"/>
    <w:basedOn w:val="VarsaylanParagrafYazTipi"/>
    <w:rsid w:val="008A6CF4"/>
  </w:style>
  <w:style w:type="paragraph" w:customStyle="1" w:styleId="3-NormalYaz0">
    <w:name w:val="3-Normal Yazı"/>
    <w:rsid w:val="004D66C1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customStyle="1" w:styleId="1-Baslk">
    <w:name w:val="1-Baslık"/>
    <w:rsid w:val="00605984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605984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character" w:customStyle="1" w:styleId="Normal1">
    <w:name w:val="Normal1"/>
    <w:rsid w:val="00AA318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rsid w:val="00A41744"/>
    <w:rPr>
      <w:rFonts w:ascii="Times New Roman" w:eastAsia="Times New Roman" w:hAnsi="Times New Roman" w:cs="Arial"/>
      <w:b/>
      <w:bCs/>
      <w:iCs/>
      <w:caps/>
      <w:sz w:val="26"/>
      <w:szCs w:val="2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A41744"/>
    <w:rPr>
      <w:rFonts w:ascii="Times New Roman" w:eastAsia="Times New Roman" w:hAnsi="Times New Roman" w:cs="Arial"/>
      <w:b/>
      <w:bCs/>
      <w:sz w:val="26"/>
      <w:szCs w:val="26"/>
      <w:lang w:eastAsia="tr-TR"/>
    </w:rPr>
  </w:style>
  <w:style w:type="paragraph" w:styleId="GvdeMetni">
    <w:name w:val="Body Text"/>
    <w:basedOn w:val="Normal"/>
    <w:link w:val="GvdeMetniChar"/>
    <w:uiPriority w:val="99"/>
    <w:unhideWhenUsed/>
    <w:rsid w:val="00A41744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rsid w:val="00A41744"/>
    <w:rPr>
      <w:rFonts w:ascii="Tahoma" w:eastAsia="Times New Roman" w:hAnsi="Tahoma" w:cs="Times New Roman"/>
      <w:szCs w:val="20"/>
      <w:lang w:eastAsia="tr-TR"/>
    </w:rPr>
  </w:style>
  <w:style w:type="character" w:customStyle="1" w:styleId="KalnChar">
    <w:name w:val="Kalın Char"/>
    <w:basedOn w:val="VarsaylanParagrafYazTipi"/>
    <w:link w:val="Kaln"/>
    <w:locked/>
    <w:rsid w:val="00A41744"/>
    <w:rPr>
      <w:b/>
      <w:bCs/>
      <w:color w:val="000000"/>
      <w:sz w:val="26"/>
      <w:szCs w:val="26"/>
      <w:lang w:eastAsia="tr-TR"/>
    </w:rPr>
  </w:style>
  <w:style w:type="paragraph" w:customStyle="1" w:styleId="Kaln">
    <w:name w:val="Kalın"/>
    <w:basedOn w:val="GvdeMetni"/>
    <w:link w:val="KalnChar"/>
    <w:rsid w:val="00A41744"/>
    <w:pPr>
      <w:spacing w:after="240"/>
      <w:ind w:firstLine="567"/>
    </w:pPr>
    <w:rPr>
      <w:rFonts w:asciiTheme="minorHAnsi" w:eastAsiaTheme="minorHAnsi" w:hAnsiTheme="minorHAnsi" w:cstheme="minorBidi"/>
      <w:b/>
      <w:bCs/>
      <w:color w:val="000000"/>
      <w:sz w:val="26"/>
      <w:szCs w:val="26"/>
    </w:rPr>
  </w:style>
  <w:style w:type="paragraph" w:customStyle="1" w:styleId="KararVerenler">
    <w:name w:val="Karar Verenler"/>
    <w:basedOn w:val="GvdeMetni"/>
    <w:rsid w:val="00A41744"/>
    <w:pPr>
      <w:ind w:firstLine="567"/>
    </w:pPr>
    <w:rPr>
      <w:rFonts w:ascii="Times New Roman" w:hAnsi="Times New Roman"/>
      <w:color w:val="000000"/>
      <w:sz w:val="24"/>
      <w:szCs w:val="26"/>
    </w:rPr>
  </w:style>
  <w:style w:type="character" w:customStyle="1" w:styleId="talikchar">
    <w:name w:val="talikchar"/>
    <w:basedOn w:val="VarsaylanParagrafYazTipi"/>
    <w:rsid w:val="00A41744"/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84367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84367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western">
    <w:name w:val="western"/>
    <w:basedOn w:val="Normal"/>
    <w:rsid w:val="0084367F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styleId="KonuBal">
    <w:name w:val="Title"/>
    <w:basedOn w:val="Normal"/>
    <w:link w:val="KonuBalChar"/>
    <w:uiPriority w:val="10"/>
    <w:qFormat/>
    <w:rsid w:val="00843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4367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67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673D4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1B22A8"/>
    <w:rPr>
      <w:b/>
      <w:bCs/>
    </w:rPr>
  </w:style>
  <w:style w:type="character" w:customStyle="1" w:styleId="Balk1Char">
    <w:name w:val="Başlık 1 Char"/>
    <w:basedOn w:val="VarsaylanParagrafYazTipi"/>
    <w:link w:val="Balk1"/>
    <w:uiPriority w:val="9"/>
    <w:rsid w:val="00E118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rsid w:val="00E1189A"/>
    <w:rPr>
      <w:rFonts w:ascii="Times New Roman" w:eastAsia="Arial Unicode MS" w:hAnsi="Times New Roman" w:cs="Times New Roman"/>
      <w:b/>
      <w:bCs/>
      <w:szCs w:val="24"/>
      <w:u w:val="single"/>
      <w:lang w:eastAsia="tr-TR"/>
    </w:rPr>
  </w:style>
  <w:style w:type="paragraph" w:styleId="stbilgi">
    <w:name w:val="header"/>
    <w:basedOn w:val="Normal"/>
    <w:link w:val="stbilgiChar"/>
    <w:uiPriority w:val="99"/>
    <w:semiHidden/>
    <w:unhideWhenUsed/>
    <w:rsid w:val="00E1189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E1189A"/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E1189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E1189A"/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character" w:customStyle="1" w:styleId="KonuBalChar1">
    <w:name w:val="Konu Başlığı Char1"/>
    <w:locked/>
    <w:rsid w:val="00E1189A"/>
    <w:rPr>
      <w:b/>
      <w:bCs/>
      <w:sz w:val="24"/>
      <w:szCs w:val="24"/>
      <w:lang w:eastAsia="tr-TR"/>
    </w:rPr>
  </w:style>
  <w:style w:type="paragraph" w:customStyle="1" w:styleId="msottle">
    <w:name w:val="msotıtle"/>
    <w:basedOn w:val="Normal"/>
    <w:rsid w:val="00E1189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msosubttle">
    <w:name w:val="msosubtıtle"/>
    <w:basedOn w:val="Normal"/>
    <w:rsid w:val="00E1189A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E1189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E1189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E1189A"/>
    <w:pPr>
      <w:autoSpaceDE w:val="0"/>
      <w:autoSpaceDN w:val="0"/>
      <w:adjustRightInd w:val="0"/>
      <w:spacing w:before="100" w:after="100" w:line="240" w:lineRule="auto"/>
      <w:ind w:right="225"/>
      <w:jc w:val="both"/>
    </w:pPr>
    <w:rPr>
      <w:rFonts w:ascii="Times New Roman" w:eastAsia="Times New Roman" w:hAnsi="Times New Roman" w:cs="Times New Roman"/>
      <w:bCs/>
      <w:sz w:val="19"/>
      <w:szCs w:val="24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E1189A"/>
    <w:rPr>
      <w:rFonts w:ascii="Times New Roman" w:eastAsia="Times New Roman" w:hAnsi="Times New Roman" w:cs="Times New Roman"/>
      <w:bCs/>
      <w:sz w:val="19"/>
      <w:szCs w:val="24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unhideWhenUsed/>
    <w:rsid w:val="00E1189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rsid w:val="00E1189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E1189A"/>
    <w:pPr>
      <w:spacing w:after="0" w:line="240" w:lineRule="auto"/>
      <w:ind w:left="110"/>
      <w:jc w:val="both"/>
    </w:pPr>
    <w:rPr>
      <w:rFonts w:ascii="Times New Roman" w:eastAsia="Times New Roman" w:hAnsi="Times New Roman" w:cs="Times New Roman"/>
      <w:bCs/>
      <w:noProof/>
      <w:sz w:val="24"/>
      <w:szCs w:val="18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E1189A"/>
    <w:rPr>
      <w:rFonts w:ascii="Times New Roman" w:eastAsia="Times New Roman" w:hAnsi="Times New Roman" w:cs="Times New Roman"/>
      <w:bCs/>
      <w:noProof/>
      <w:sz w:val="24"/>
      <w:szCs w:val="18"/>
      <w:lang w:eastAsia="tr-TR"/>
    </w:rPr>
  </w:style>
  <w:style w:type="paragraph" w:styleId="bekMetni">
    <w:name w:val="Block Text"/>
    <w:basedOn w:val="Normal"/>
    <w:uiPriority w:val="99"/>
    <w:semiHidden/>
    <w:unhideWhenUsed/>
    <w:rsid w:val="00E1189A"/>
    <w:pPr>
      <w:spacing w:after="0" w:line="240" w:lineRule="auto"/>
      <w:ind w:left="151" w:right="279" w:hanging="151"/>
      <w:jc w:val="both"/>
    </w:pPr>
    <w:rPr>
      <w:rFonts w:ascii="Times New Roman" w:eastAsia="Times New Roman" w:hAnsi="Times New Roman" w:cs="Times New Roman"/>
      <w:sz w:val="19"/>
      <w:szCs w:val="24"/>
      <w:lang w:eastAsia="tr-TR"/>
    </w:rPr>
  </w:style>
  <w:style w:type="paragraph" w:customStyle="1" w:styleId="msoplantext">
    <w:name w:val="msoplaıntext"/>
    <w:basedOn w:val="Normal"/>
    <w:rsid w:val="00E1189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styleId="AltKonuBal">
    <w:name w:val="Subtitle"/>
    <w:basedOn w:val="Normal"/>
    <w:link w:val="AltKonuBalChar"/>
    <w:uiPriority w:val="11"/>
    <w:qFormat/>
    <w:rsid w:val="00E11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E1189A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0">
    <w:name w:val="normal1"/>
    <w:basedOn w:val="VarsaylanParagrafYazTipi"/>
    <w:rsid w:val="00075AA2"/>
  </w:style>
  <w:style w:type="character" w:customStyle="1" w:styleId="spelle">
    <w:name w:val="spelle"/>
    <w:basedOn w:val="VarsaylanParagrafYazTipi"/>
    <w:rsid w:val="00075AA2"/>
  </w:style>
  <w:style w:type="paragraph" w:customStyle="1" w:styleId="2-ortabaslk0">
    <w:name w:val="2-ortabaslk"/>
    <w:basedOn w:val="Normal"/>
    <w:rsid w:val="00075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numbered1">
    <w:name w:val="numbered1"/>
    <w:basedOn w:val="Normal"/>
    <w:rsid w:val="00650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metni1">
    <w:name w:val="gvdemetni1"/>
    <w:basedOn w:val="Normal"/>
    <w:rsid w:val="00436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kaln">
    <w:name w:val="gvdemetnikaln"/>
    <w:basedOn w:val="VarsaylanParagrafYazTipi"/>
    <w:rsid w:val="00436459"/>
  </w:style>
  <w:style w:type="character" w:customStyle="1" w:styleId="gvdemetni11">
    <w:name w:val="gvdemetni11"/>
    <w:basedOn w:val="VarsaylanParagrafYazTipi"/>
    <w:rsid w:val="00436459"/>
  </w:style>
  <w:style w:type="character" w:customStyle="1" w:styleId="gvdemetnikaln2">
    <w:name w:val="gvdemetnikaln2"/>
    <w:basedOn w:val="VarsaylanParagrafYazTipi"/>
    <w:rsid w:val="00436459"/>
  </w:style>
  <w:style w:type="character" w:customStyle="1" w:styleId="gvdemetnikaln1">
    <w:name w:val="gvdemetnikaln1"/>
    <w:basedOn w:val="VarsaylanParagrafYazTipi"/>
    <w:rsid w:val="00436459"/>
  </w:style>
  <w:style w:type="character" w:customStyle="1" w:styleId="gvdemetniarialunicodems">
    <w:name w:val="gvdemetniarialunicodems"/>
    <w:basedOn w:val="VarsaylanParagrafYazTipi"/>
    <w:rsid w:val="00436459"/>
  </w:style>
  <w:style w:type="character" w:customStyle="1" w:styleId="Balk5Char">
    <w:name w:val="Başlık 5 Char"/>
    <w:basedOn w:val="VarsaylanParagrafYazTipi"/>
    <w:link w:val="Balk5"/>
    <w:uiPriority w:val="9"/>
    <w:semiHidden/>
    <w:rsid w:val="001B10B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B10B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B10B0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1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1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1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9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4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4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42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2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1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5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8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3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8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5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85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927</Words>
  <Characters>5289</Characters>
  <Application>Microsoft Office Word</Application>
  <DocSecurity>0</DocSecurity>
  <Lines>44</Lines>
  <Paragraphs>12</Paragraphs>
  <ScaleCrop>false</ScaleCrop>
  <Company>TURMOB</Company>
  <LinksUpToDate>false</LinksUpToDate>
  <CharactersWithSpaces>6204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154</cp:revision>
  <dcterms:created xsi:type="dcterms:W3CDTF">2011-12-01T06:40:00Z</dcterms:created>
  <dcterms:modified xsi:type="dcterms:W3CDTF">2012-01-31T06:16:00Z</dcterms:modified>
</cp:coreProperties>
</file>