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10</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Pr="00D67232">
        <w:rPr>
          <w:rFonts w:ascii="Times New Roman" w:eastAsia="Times New Roman" w:hAnsi="Times New Roman" w:cs="Times New Roman"/>
          <w:b/>
          <w:sz w:val="20"/>
          <w:szCs w:val="20"/>
          <w:u w:val="single"/>
          <w:lang w:eastAsia="tr-TR"/>
        </w:rPr>
        <w:t>ayı: 28200</w:t>
      </w:r>
    </w:p>
    <w:p w:rsidR="006D37B4" w:rsidRPr="00D67232"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D67232" w:rsidRPr="00D67232" w:rsidRDefault="00D67232" w:rsidP="00D67232">
      <w:pPr>
        <w:pStyle w:val="NormalWeb"/>
        <w:spacing w:line="276" w:lineRule="auto"/>
        <w:rPr>
          <w:rFonts w:ascii="Times New Roman" w:hAnsi="Times New Roman"/>
          <w:b/>
          <w:color w:val="auto"/>
          <w:sz w:val="20"/>
          <w:szCs w:val="20"/>
        </w:rPr>
      </w:pPr>
      <w:r w:rsidRPr="00D67232">
        <w:rPr>
          <w:rFonts w:ascii="Times New Roman" w:hAnsi="Times New Roman"/>
          <w:b/>
          <w:color w:val="auto"/>
          <w:sz w:val="20"/>
          <w:szCs w:val="20"/>
        </w:rPr>
        <w:t>Bankacılık Düzenleme ve Denetleme Kurumundan:</w:t>
      </w:r>
    </w:p>
    <w:p w:rsidR="00D67232" w:rsidRPr="00D67232" w:rsidRDefault="00D67232" w:rsidP="00D67232">
      <w:pPr>
        <w:pStyle w:val="2-ortabaslk0"/>
        <w:spacing w:before="0" w:beforeAutospacing="0" w:after="0" w:afterAutospacing="0" w:line="276" w:lineRule="auto"/>
        <w:rPr>
          <w:color w:val="auto"/>
          <w:sz w:val="20"/>
          <w:szCs w:val="20"/>
        </w:rPr>
      </w:pPr>
      <w:r w:rsidRPr="00D67232">
        <w:rPr>
          <w:color w:val="auto"/>
          <w:sz w:val="20"/>
          <w:szCs w:val="20"/>
        </w:rPr>
        <w:t> </w:t>
      </w:r>
    </w:p>
    <w:p w:rsidR="00D67232" w:rsidRPr="00D67232" w:rsidRDefault="00D67232" w:rsidP="00D67232">
      <w:pPr>
        <w:pStyle w:val="2-ortabaslk0"/>
        <w:spacing w:before="0" w:beforeAutospacing="0" w:after="0" w:afterAutospacing="0" w:line="276" w:lineRule="auto"/>
        <w:jc w:val="center"/>
        <w:rPr>
          <w:color w:val="auto"/>
          <w:sz w:val="20"/>
          <w:szCs w:val="20"/>
        </w:rPr>
      </w:pPr>
      <w:r w:rsidRPr="00D67232">
        <w:rPr>
          <w:b/>
          <w:bCs/>
          <w:color w:val="auto"/>
          <w:sz w:val="20"/>
          <w:szCs w:val="20"/>
        </w:rPr>
        <w:t xml:space="preserve">BANKALARIN LİKİDİTE YETERLİLİĞİNİN ÖLÇÜLMESİNE VE </w:t>
      </w:r>
    </w:p>
    <w:p w:rsidR="00D67232" w:rsidRPr="00D67232" w:rsidRDefault="00D67232" w:rsidP="00D67232">
      <w:pPr>
        <w:pStyle w:val="2-ortabaslk0"/>
        <w:spacing w:before="0" w:beforeAutospacing="0" w:after="0" w:afterAutospacing="0" w:line="276" w:lineRule="auto"/>
        <w:jc w:val="center"/>
        <w:rPr>
          <w:color w:val="auto"/>
          <w:sz w:val="20"/>
          <w:szCs w:val="20"/>
        </w:rPr>
      </w:pPr>
      <w:r w:rsidRPr="00D67232">
        <w:rPr>
          <w:b/>
          <w:bCs/>
          <w:color w:val="auto"/>
          <w:sz w:val="20"/>
          <w:szCs w:val="20"/>
        </w:rPr>
        <w:t xml:space="preserve">DEĞERLENDİRİLMESİNE İLİŞKİN YÖNETMELİKTE </w:t>
      </w:r>
    </w:p>
    <w:p w:rsidR="00D67232" w:rsidRPr="00D67232" w:rsidRDefault="00D67232" w:rsidP="00D67232">
      <w:pPr>
        <w:pStyle w:val="2-ortabaslk0"/>
        <w:spacing w:before="0" w:beforeAutospacing="0" w:after="0" w:afterAutospacing="0" w:line="276" w:lineRule="auto"/>
        <w:jc w:val="center"/>
        <w:rPr>
          <w:color w:val="auto"/>
          <w:sz w:val="20"/>
          <w:szCs w:val="20"/>
        </w:rPr>
      </w:pPr>
      <w:r w:rsidRPr="00D67232">
        <w:rPr>
          <w:b/>
          <w:bCs/>
          <w:color w:val="auto"/>
          <w:sz w:val="20"/>
          <w:szCs w:val="20"/>
        </w:rPr>
        <w:t>DEĞİŞİKLİK YAPILMASINA DAİR YÖNETMELİK</w:t>
      </w:r>
    </w:p>
    <w:p w:rsidR="00D67232" w:rsidRPr="00D67232" w:rsidRDefault="00D67232" w:rsidP="00D67232">
      <w:pPr>
        <w:pStyle w:val="2-ortabaslk0"/>
        <w:spacing w:before="0" w:beforeAutospacing="0" w:after="0" w:afterAutospacing="0" w:line="276" w:lineRule="auto"/>
        <w:jc w:val="center"/>
        <w:rPr>
          <w:color w:val="auto"/>
          <w:sz w:val="20"/>
          <w:szCs w:val="20"/>
        </w:rPr>
      </w:pPr>
      <w:r w:rsidRPr="00D67232">
        <w:rPr>
          <w:b/>
          <w:bCs/>
          <w:color w:val="auto"/>
          <w:sz w:val="20"/>
          <w:szCs w:val="20"/>
        </w:rPr>
        <w:t> </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b/>
          <w:sz w:val="20"/>
          <w:szCs w:val="20"/>
        </w:rPr>
        <w:t>MADDE 1 –</w:t>
      </w:r>
      <w:r w:rsidRPr="00D67232">
        <w:rPr>
          <w:rFonts w:ascii="Times New Roman" w:hAnsi="Times New Roman" w:cs="Times New Roman"/>
          <w:sz w:val="20"/>
          <w:szCs w:val="20"/>
        </w:rPr>
        <w:t xml:space="preserve"> </w:t>
      </w:r>
      <w:proofErr w:type="gramStart"/>
      <w:r w:rsidRPr="00D67232">
        <w:rPr>
          <w:rStyle w:val="grame"/>
          <w:rFonts w:ascii="Times New Roman" w:hAnsi="Times New Roman" w:cs="Times New Roman"/>
          <w:sz w:val="20"/>
          <w:szCs w:val="20"/>
        </w:rPr>
        <w:t>1/11/2006</w:t>
      </w:r>
      <w:proofErr w:type="gramEnd"/>
      <w:r w:rsidRPr="00D67232">
        <w:rPr>
          <w:rFonts w:ascii="Times New Roman" w:hAnsi="Times New Roman" w:cs="Times New Roman"/>
          <w:sz w:val="20"/>
          <w:szCs w:val="20"/>
        </w:rPr>
        <w:t xml:space="preserve"> tarihli ve 26333 sayılı Resmî Gazete’de yayımlanan Bankaların Likidite Yeterliliğinin Ölçülmesine ve Değerlendirilmesine İlişkin Yönetmeliğin Geçici 2 </w:t>
      </w:r>
      <w:proofErr w:type="spellStart"/>
      <w:r w:rsidRPr="00D67232">
        <w:rPr>
          <w:rStyle w:val="spelle"/>
          <w:rFonts w:ascii="Times New Roman" w:hAnsi="Times New Roman" w:cs="Times New Roman"/>
          <w:sz w:val="20"/>
          <w:szCs w:val="20"/>
        </w:rPr>
        <w:t>nci</w:t>
      </w:r>
      <w:proofErr w:type="spellEnd"/>
      <w:r w:rsidRPr="00D67232">
        <w:rPr>
          <w:rFonts w:ascii="Times New Roman" w:hAnsi="Times New Roman" w:cs="Times New Roman"/>
          <w:sz w:val="20"/>
          <w:szCs w:val="20"/>
        </w:rPr>
        <w:t xml:space="preserve"> maddesi aşağıdaki şekilde değiştirilmiştir.</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sz w:val="20"/>
          <w:szCs w:val="20"/>
        </w:rPr>
        <w:t> </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b/>
          <w:sz w:val="20"/>
          <w:szCs w:val="20"/>
        </w:rPr>
        <w:t>“GEÇİCİ MADDE 2 –</w:t>
      </w:r>
      <w:r w:rsidRPr="00D67232">
        <w:rPr>
          <w:rFonts w:ascii="Times New Roman" w:hAnsi="Times New Roman" w:cs="Times New Roman"/>
          <w:sz w:val="20"/>
          <w:szCs w:val="20"/>
        </w:rPr>
        <w:t xml:space="preserve"> (1) Bu Yönetmeliğin 8 inci maddesi hükmünün uygulanmasında </w:t>
      </w:r>
      <w:proofErr w:type="gramStart"/>
      <w:r w:rsidRPr="00D67232">
        <w:rPr>
          <w:rStyle w:val="grame"/>
          <w:rFonts w:ascii="Times New Roman" w:hAnsi="Times New Roman" w:cs="Times New Roman"/>
          <w:sz w:val="20"/>
          <w:szCs w:val="20"/>
        </w:rPr>
        <w:t>31/12/2013</w:t>
      </w:r>
      <w:proofErr w:type="gramEnd"/>
      <w:r w:rsidRPr="00D67232">
        <w:rPr>
          <w:rFonts w:ascii="Times New Roman" w:hAnsi="Times New Roman" w:cs="Times New Roman"/>
          <w:sz w:val="20"/>
          <w:szCs w:val="20"/>
        </w:rPr>
        <w:t xml:space="preserve"> tarihine kadar dövize endeksli varlık ve yükümlülükler yabancı para likidite yeterlilik oranı hesaplamasında yabancı para cinsinden varlık ve yükümlülük olarak dikkate alınır, toplam likidite yeterlilik oranı hesaplamasında ise Türk Parası cinsinden varlık ve yükümlülük olarak dikkate alınmaya devam edilir.”</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sz w:val="20"/>
          <w:szCs w:val="20"/>
        </w:rPr>
        <w:t> </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b/>
          <w:sz w:val="20"/>
          <w:szCs w:val="20"/>
        </w:rPr>
        <w:t>MADDE 2 –</w:t>
      </w:r>
      <w:r w:rsidRPr="00D67232">
        <w:rPr>
          <w:rFonts w:ascii="Times New Roman" w:hAnsi="Times New Roman" w:cs="Times New Roman"/>
          <w:sz w:val="20"/>
          <w:szCs w:val="20"/>
        </w:rPr>
        <w:t xml:space="preserve"> Aynı Yönetmelik eki bildirim cetvelleri ek-1 ve ek-2’de Yükümlülükler başlığı altında yer alan “IV-Diğer Kaynaklar” grubu altında “</w:t>
      </w:r>
      <w:r w:rsidRPr="00D67232">
        <w:rPr>
          <w:rStyle w:val="grame"/>
          <w:rFonts w:ascii="Times New Roman" w:hAnsi="Times New Roman" w:cs="Times New Roman"/>
          <w:sz w:val="20"/>
          <w:szCs w:val="20"/>
        </w:rPr>
        <w:t>4.7</w:t>
      </w:r>
      <w:r w:rsidRPr="00D67232">
        <w:rPr>
          <w:rFonts w:ascii="Times New Roman" w:hAnsi="Times New Roman" w:cs="Times New Roman"/>
          <w:sz w:val="20"/>
          <w:szCs w:val="20"/>
        </w:rPr>
        <w:t>İhraç Edilen Menkul Kıymetler” hesabının altına “4.7.1 Bonolar” ve “4.7.2 Tahviller” satırları eklenmiş ve bu tutarların dikkate alınma oranları %50 olarak belirlenmiştir.</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sz w:val="20"/>
          <w:szCs w:val="20"/>
        </w:rPr>
        <w:t> </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b/>
          <w:sz w:val="20"/>
          <w:szCs w:val="20"/>
        </w:rPr>
        <w:t>MADDE 3 –</w:t>
      </w:r>
      <w:r w:rsidRPr="00D67232">
        <w:rPr>
          <w:rFonts w:ascii="Times New Roman" w:hAnsi="Times New Roman" w:cs="Times New Roman"/>
          <w:sz w:val="20"/>
          <w:szCs w:val="20"/>
        </w:rPr>
        <w:t xml:space="preserve"> Bu Yönetmelik </w:t>
      </w:r>
      <w:proofErr w:type="gramStart"/>
      <w:r w:rsidRPr="00D67232">
        <w:rPr>
          <w:rStyle w:val="grame"/>
          <w:rFonts w:ascii="Times New Roman" w:hAnsi="Times New Roman" w:cs="Times New Roman"/>
          <w:sz w:val="20"/>
          <w:szCs w:val="20"/>
        </w:rPr>
        <w:t>31/12/2011</w:t>
      </w:r>
      <w:proofErr w:type="gramEnd"/>
      <w:r w:rsidRPr="00D67232">
        <w:rPr>
          <w:rFonts w:ascii="Times New Roman" w:hAnsi="Times New Roman" w:cs="Times New Roman"/>
          <w:sz w:val="20"/>
          <w:szCs w:val="20"/>
        </w:rPr>
        <w:t xml:space="preserve"> tarihinden geçerli olmak üzere yayımı tarihinde yürürlüğe girer.</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sz w:val="20"/>
          <w:szCs w:val="20"/>
        </w:rPr>
        <w:t> </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b/>
          <w:sz w:val="20"/>
          <w:szCs w:val="20"/>
        </w:rPr>
        <w:t>MADDE 4 –</w:t>
      </w:r>
      <w:r w:rsidRPr="00D67232">
        <w:rPr>
          <w:rFonts w:ascii="Times New Roman" w:hAnsi="Times New Roman" w:cs="Times New Roman"/>
          <w:sz w:val="20"/>
          <w:szCs w:val="20"/>
        </w:rPr>
        <w:t xml:space="preserve"> Bu Yönetmelik hükümlerini Bankacılık Düzenleme ve Denetleme Kurumu Başkanı yürütür.</w:t>
      </w:r>
    </w:p>
    <w:p w:rsidR="00D67232" w:rsidRPr="00D67232" w:rsidRDefault="00D67232" w:rsidP="00D67232">
      <w:pPr>
        <w:jc w:val="both"/>
        <w:rPr>
          <w:rFonts w:ascii="Times New Roman" w:hAnsi="Times New Roman" w:cs="Times New Roman"/>
          <w:sz w:val="20"/>
          <w:szCs w:val="20"/>
        </w:rPr>
      </w:pPr>
      <w:r w:rsidRPr="00D67232">
        <w:rPr>
          <w:rFonts w:ascii="Times New Roman" w:hAnsi="Times New Roman" w:cs="Times New Roman"/>
          <w:sz w:val="20"/>
          <w:szCs w:val="20"/>
        </w:rPr>
        <w:t> </w:t>
      </w:r>
    </w:p>
    <w:p w:rsidR="00D67232" w:rsidRPr="00D67232" w:rsidRDefault="00D67232" w:rsidP="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67232" w:rsidRPr="00D67232">
        <w:trPr>
          <w:trHeight w:val="375"/>
          <w:jc w:val="center"/>
        </w:trPr>
        <w:tc>
          <w:tcPr>
            <w:tcW w:w="8505" w:type="dxa"/>
            <w:gridSpan w:val="3"/>
            <w:tcBorders>
              <w:top w:val="single" w:sz="4" w:space="0" w:color="auto"/>
              <w:left w:val="single" w:sz="4" w:space="0" w:color="auto"/>
              <w:bottom w:val="single" w:sz="6" w:space="0" w:color="999999"/>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Yönetmeliğin Yayımlandığı Resmî Gazete'nin</w:t>
            </w:r>
          </w:p>
        </w:tc>
      </w:tr>
      <w:tr w:rsidR="00D67232" w:rsidRPr="00D67232">
        <w:trPr>
          <w:trHeight w:val="375"/>
          <w:jc w:val="center"/>
        </w:trPr>
        <w:tc>
          <w:tcPr>
            <w:tcW w:w="4254" w:type="dxa"/>
            <w:gridSpan w:val="2"/>
            <w:tcBorders>
              <w:top w:val="single" w:sz="6" w:space="0" w:color="999999"/>
              <w:left w:val="single" w:sz="4" w:space="0" w:color="auto"/>
              <w:bottom w:val="single" w:sz="4" w:space="0" w:color="auto"/>
              <w:right w:val="single" w:sz="6" w:space="0" w:color="999999"/>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Tarihi</w:t>
            </w:r>
          </w:p>
        </w:tc>
        <w:tc>
          <w:tcPr>
            <w:tcW w:w="4251" w:type="dxa"/>
            <w:tcBorders>
              <w:top w:val="single" w:sz="6" w:space="0" w:color="999999"/>
              <w:left w:val="single" w:sz="6" w:space="0" w:color="999999"/>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Sayısı</w:t>
            </w:r>
          </w:p>
        </w:tc>
      </w:tr>
      <w:tr w:rsidR="00D67232" w:rsidRPr="00D67232">
        <w:trPr>
          <w:trHeight w:val="375"/>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26333</w:t>
            </w:r>
          </w:p>
        </w:tc>
      </w:tr>
      <w:tr w:rsidR="00D67232" w:rsidRPr="00D67232">
        <w:trPr>
          <w:trHeight w:val="375"/>
          <w:jc w:val="center"/>
        </w:trPr>
        <w:tc>
          <w:tcPr>
            <w:tcW w:w="8505" w:type="dxa"/>
            <w:gridSpan w:val="3"/>
            <w:tcBorders>
              <w:top w:val="single" w:sz="4" w:space="0" w:color="auto"/>
              <w:left w:val="single" w:sz="4" w:space="0" w:color="auto"/>
              <w:bottom w:val="single" w:sz="6" w:space="0" w:color="999999"/>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Yönetmelikte Değişiklik Yapan Yönetmeliklerin Yayımlandığı Resmî Gazete'nin</w:t>
            </w:r>
          </w:p>
        </w:tc>
      </w:tr>
      <w:tr w:rsidR="00D67232" w:rsidRPr="00D67232">
        <w:trPr>
          <w:trHeight w:val="375"/>
          <w:jc w:val="center"/>
        </w:trPr>
        <w:tc>
          <w:tcPr>
            <w:tcW w:w="4254" w:type="dxa"/>
            <w:gridSpan w:val="2"/>
            <w:tcBorders>
              <w:top w:val="single" w:sz="6" w:space="0" w:color="999999"/>
              <w:left w:val="single" w:sz="4" w:space="0" w:color="auto"/>
              <w:bottom w:val="single" w:sz="4" w:space="0" w:color="auto"/>
              <w:right w:val="single" w:sz="6" w:space="0" w:color="999999"/>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Tarihi</w:t>
            </w:r>
          </w:p>
        </w:tc>
        <w:tc>
          <w:tcPr>
            <w:tcW w:w="4251" w:type="dxa"/>
            <w:tcBorders>
              <w:top w:val="single" w:sz="6" w:space="0" w:color="999999"/>
              <w:left w:val="single" w:sz="6" w:space="0" w:color="999999"/>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b/>
                <w:color w:val="auto"/>
                <w:sz w:val="20"/>
                <w:szCs w:val="20"/>
              </w:rPr>
              <w:t>Sayısı</w:t>
            </w:r>
          </w:p>
        </w:tc>
      </w:tr>
      <w:tr w:rsidR="00D67232" w:rsidRPr="00D6723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tabs>
                <w:tab w:val="left" w:pos="708"/>
              </w:tabs>
              <w:spacing w:line="276" w:lineRule="auto"/>
              <w:ind w:right="469"/>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9/6/2007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26547</w:t>
            </w:r>
          </w:p>
        </w:tc>
      </w:tr>
      <w:tr w:rsidR="00D67232" w:rsidRPr="00D6723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tabs>
                <w:tab w:val="left" w:pos="708"/>
              </w:tabs>
              <w:spacing w:line="276" w:lineRule="auto"/>
              <w:ind w:right="469"/>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5/4/2008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26838</w:t>
            </w:r>
          </w:p>
        </w:tc>
      </w:tr>
      <w:tr w:rsidR="00D67232" w:rsidRPr="00D6723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tabs>
                <w:tab w:val="left" w:pos="708"/>
              </w:tabs>
              <w:spacing w:line="276" w:lineRule="auto"/>
              <w:ind w:right="469"/>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23/1/2009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27119</w:t>
            </w:r>
          </w:p>
        </w:tc>
      </w:tr>
      <w:tr w:rsidR="00D67232" w:rsidRPr="00D6723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4-</w:t>
            </w:r>
          </w:p>
        </w:tc>
        <w:tc>
          <w:tcPr>
            <w:tcW w:w="381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tabs>
                <w:tab w:val="left" w:pos="708"/>
              </w:tabs>
              <w:spacing w:line="276" w:lineRule="auto"/>
              <w:ind w:right="469"/>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11/12/2009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27429</w:t>
            </w:r>
          </w:p>
        </w:tc>
      </w:tr>
      <w:tr w:rsidR="00D67232" w:rsidRPr="00D6723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5-</w:t>
            </w:r>
          </w:p>
        </w:tc>
        <w:tc>
          <w:tcPr>
            <w:tcW w:w="3817"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tabs>
                <w:tab w:val="left" w:pos="708"/>
              </w:tabs>
              <w:spacing w:line="276" w:lineRule="auto"/>
              <w:ind w:right="469"/>
              <w:jc w:val="center"/>
              <w:rPr>
                <w:rFonts w:ascii="Times New Roman" w:hAnsi="Times New Roman"/>
                <w:color w:val="auto"/>
                <w:sz w:val="20"/>
                <w:szCs w:val="20"/>
              </w:rPr>
            </w:pPr>
            <w:proofErr w:type="gramStart"/>
            <w:r w:rsidRPr="00D67232">
              <w:rPr>
                <w:rStyle w:val="grame"/>
                <w:rFonts w:ascii="Times New Roman" w:hAnsi="Times New Roman"/>
                <w:color w:val="auto"/>
                <w:sz w:val="20"/>
                <w:szCs w:val="20"/>
              </w:rPr>
              <w:t>16/7/2010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67232" w:rsidRPr="00D67232" w:rsidRDefault="00D67232">
            <w:pPr>
              <w:pStyle w:val="3-normalyaz"/>
              <w:spacing w:line="276" w:lineRule="auto"/>
              <w:jc w:val="center"/>
              <w:rPr>
                <w:rFonts w:ascii="Times New Roman" w:hAnsi="Times New Roman"/>
                <w:color w:val="auto"/>
                <w:sz w:val="20"/>
                <w:szCs w:val="20"/>
              </w:rPr>
            </w:pPr>
            <w:r w:rsidRPr="00D67232">
              <w:rPr>
                <w:rFonts w:ascii="Times New Roman" w:hAnsi="Times New Roman"/>
                <w:color w:val="auto"/>
                <w:sz w:val="20"/>
                <w:szCs w:val="20"/>
              </w:rPr>
              <w:t>27643</w:t>
            </w:r>
          </w:p>
        </w:tc>
      </w:tr>
    </w:tbl>
    <w:p w:rsidR="00D67232" w:rsidRPr="00D67232" w:rsidRDefault="00D67232" w:rsidP="00D67232">
      <w:pPr>
        <w:pStyle w:val="3-normalyaz"/>
        <w:spacing w:line="240" w:lineRule="exact"/>
        <w:jc w:val="center"/>
        <w:rPr>
          <w:rFonts w:ascii="Times New Roman" w:hAnsi="Times New Roman"/>
          <w:color w:val="auto"/>
          <w:sz w:val="20"/>
          <w:szCs w:val="20"/>
        </w:rPr>
      </w:pPr>
      <w:r w:rsidRPr="00D67232">
        <w:rPr>
          <w:rFonts w:ascii="Times New Roman" w:hAnsi="Times New Roman"/>
          <w:color w:val="auto"/>
          <w:sz w:val="20"/>
          <w:szCs w:val="20"/>
        </w:rPr>
        <w:t> </w:t>
      </w:r>
    </w:p>
    <w:p w:rsidR="00D67232" w:rsidRPr="00D67232" w:rsidRDefault="00D67232" w:rsidP="006D37B4">
      <w:pPr>
        <w:tabs>
          <w:tab w:val="left" w:pos="1134"/>
        </w:tabs>
        <w:spacing w:line="240" w:lineRule="exact"/>
        <w:ind w:firstLine="567"/>
        <w:jc w:val="both"/>
        <w:rPr>
          <w:rFonts w:ascii="Times New Roman" w:hAnsi="Times New Roman" w:cs="Times New Roman"/>
          <w:bCs/>
          <w:sz w:val="20"/>
          <w:szCs w:val="20"/>
          <w:u w:val="single"/>
        </w:rPr>
      </w:pPr>
    </w:p>
    <w:sectPr w:rsidR="00D67232" w:rsidRPr="00D6723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245</Words>
  <Characters>1402</Characters>
  <Application>Microsoft Office Word</Application>
  <DocSecurity>0</DocSecurity>
  <Lines>11</Lines>
  <Paragraphs>3</Paragraphs>
  <ScaleCrop>false</ScaleCrop>
  <Company>TURMOB</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176</cp:revision>
  <dcterms:created xsi:type="dcterms:W3CDTF">2011-12-01T06:40:00Z</dcterms:created>
  <dcterms:modified xsi:type="dcterms:W3CDTF">2012-02-10T06:46:00Z</dcterms:modified>
</cp:coreProperties>
</file>