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D67232" w:rsidRDefault="00913FD7" w:rsidP="00974A77">
      <w:pPr>
        <w:spacing w:after="0" w:line="28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17</w:t>
      </w:r>
      <w:r w:rsidR="009342DE" w:rsidRPr="00D67232">
        <w:rPr>
          <w:rFonts w:ascii="Times New Roman" w:eastAsia="Times New Roman" w:hAnsi="Times New Roman" w:cs="Times New Roman"/>
          <w:b/>
          <w:sz w:val="20"/>
          <w:szCs w:val="20"/>
          <w:u w:val="single"/>
          <w:lang w:eastAsia="tr-TR"/>
        </w:rPr>
        <w:t xml:space="preserve"> Şubat</w:t>
      </w:r>
      <w:r w:rsidR="00E1189A" w:rsidRPr="00D67232">
        <w:rPr>
          <w:rFonts w:ascii="Times New Roman" w:eastAsia="Times New Roman" w:hAnsi="Times New Roman" w:cs="Times New Roman"/>
          <w:b/>
          <w:sz w:val="20"/>
          <w:szCs w:val="20"/>
          <w:u w:val="single"/>
          <w:lang w:eastAsia="tr-TR"/>
        </w:rPr>
        <w:t xml:space="preserve"> 2012</w:t>
      </w:r>
      <w:r w:rsidR="004E479F" w:rsidRPr="00D67232">
        <w:rPr>
          <w:rFonts w:ascii="Times New Roman" w:eastAsia="Times New Roman" w:hAnsi="Times New Roman" w:cs="Times New Roman"/>
          <w:b/>
          <w:sz w:val="20"/>
          <w:szCs w:val="20"/>
          <w:u w:val="single"/>
          <w:lang w:eastAsia="tr-TR"/>
        </w:rPr>
        <w:t>,</w:t>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CC04AD" w:rsidRPr="00D67232">
        <w:rPr>
          <w:rFonts w:ascii="Times New Roman" w:eastAsia="Times New Roman" w:hAnsi="Times New Roman" w:cs="Times New Roman"/>
          <w:b/>
          <w:sz w:val="20"/>
          <w:szCs w:val="20"/>
          <w:u w:val="single"/>
          <w:lang w:eastAsia="tr-TR"/>
        </w:rPr>
        <w:t xml:space="preserve">   </w:t>
      </w:r>
      <w:r w:rsidR="00B04D3D" w:rsidRPr="00D67232">
        <w:rPr>
          <w:rFonts w:ascii="Times New Roman" w:eastAsia="Times New Roman" w:hAnsi="Times New Roman" w:cs="Times New Roman"/>
          <w:b/>
          <w:sz w:val="20"/>
          <w:szCs w:val="20"/>
          <w:u w:val="single"/>
          <w:lang w:eastAsia="tr-TR"/>
        </w:rPr>
        <w:tab/>
        <w:t xml:space="preserve">               </w:t>
      </w:r>
      <w:r w:rsidR="00CC04AD" w:rsidRPr="00D67232">
        <w:rPr>
          <w:rFonts w:ascii="Times New Roman" w:eastAsia="Times New Roman" w:hAnsi="Times New Roman" w:cs="Times New Roman"/>
          <w:b/>
          <w:sz w:val="20"/>
          <w:szCs w:val="20"/>
          <w:u w:val="single"/>
          <w:lang w:eastAsia="tr-TR"/>
        </w:rPr>
        <w:t xml:space="preserve">  S</w:t>
      </w:r>
      <w:r>
        <w:rPr>
          <w:rFonts w:ascii="Times New Roman" w:eastAsia="Times New Roman" w:hAnsi="Times New Roman" w:cs="Times New Roman"/>
          <w:b/>
          <w:sz w:val="20"/>
          <w:szCs w:val="20"/>
          <w:u w:val="single"/>
          <w:lang w:eastAsia="tr-TR"/>
        </w:rPr>
        <w:t>ayı: 28207</w:t>
      </w:r>
    </w:p>
    <w:p w:rsidR="006D37B4" w:rsidRDefault="006D37B4" w:rsidP="006D37B4">
      <w:pPr>
        <w:tabs>
          <w:tab w:val="left" w:pos="1134"/>
        </w:tabs>
        <w:spacing w:line="240" w:lineRule="exact"/>
        <w:ind w:firstLine="567"/>
        <w:jc w:val="both"/>
        <w:rPr>
          <w:rFonts w:ascii="Times New Roman" w:hAnsi="Times New Roman" w:cs="Times New Roman"/>
          <w:bCs/>
          <w:sz w:val="20"/>
          <w:szCs w:val="20"/>
          <w:u w:val="single"/>
        </w:rPr>
      </w:pPr>
    </w:p>
    <w:p w:rsidR="0031586A" w:rsidRDefault="0031586A" w:rsidP="0031586A">
      <w:pPr>
        <w:pStyle w:val="3-NormalYaz0"/>
        <w:spacing w:line="240" w:lineRule="exact"/>
        <w:ind w:firstLine="566"/>
        <w:rPr>
          <w:rFonts w:hAnsi="Times New Roman"/>
          <w:sz w:val="18"/>
          <w:szCs w:val="18"/>
          <w:u w:val="single"/>
        </w:rPr>
      </w:pPr>
      <w:r>
        <w:rPr>
          <w:rFonts w:hAnsi="Times New Roman"/>
          <w:sz w:val="18"/>
          <w:szCs w:val="18"/>
          <w:u w:val="single"/>
        </w:rPr>
        <w:t>Bilgi Teknolojileri ve İletişim Kurumundan:</w:t>
      </w:r>
    </w:p>
    <w:p w:rsidR="0031586A" w:rsidRDefault="0031586A" w:rsidP="0031586A">
      <w:pPr>
        <w:pStyle w:val="3-NormalYaz0"/>
        <w:spacing w:line="240" w:lineRule="exact"/>
        <w:ind w:firstLine="566"/>
        <w:rPr>
          <w:rFonts w:hAnsi="Times New Roman"/>
          <w:sz w:val="18"/>
          <w:szCs w:val="18"/>
          <w:u w:val="single"/>
        </w:rPr>
      </w:pPr>
    </w:p>
    <w:p w:rsidR="0031586A" w:rsidRDefault="0031586A" w:rsidP="0031586A">
      <w:pPr>
        <w:pStyle w:val="3-NormalYaz0"/>
        <w:spacing w:line="240" w:lineRule="exact"/>
        <w:jc w:val="center"/>
        <w:rPr>
          <w:rFonts w:hAnsi="Times New Roman"/>
          <w:b/>
          <w:sz w:val="18"/>
          <w:szCs w:val="18"/>
        </w:rPr>
      </w:pPr>
      <w:r>
        <w:rPr>
          <w:rFonts w:hAnsi="Times New Roman"/>
          <w:b/>
          <w:sz w:val="18"/>
          <w:szCs w:val="18"/>
        </w:rPr>
        <w:t>İNTERNET SERVİS SAĞLAYICILIĞI HİZMETİ SUNAN İŞLETMECİLERE</w:t>
      </w:r>
    </w:p>
    <w:p w:rsidR="0031586A" w:rsidRDefault="0031586A" w:rsidP="0031586A">
      <w:pPr>
        <w:pStyle w:val="3-NormalYaz0"/>
        <w:spacing w:line="240" w:lineRule="exact"/>
        <w:jc w:val="center"/>
        <w:rPr>
          <w:rFonts w:hAnsi="Times New Roman"/>
          <w:b/>
          <w:sz w:val="18"/>
          <w:szCs w:val="18"/>
        </w:rPr>
      </w:pPr>
      <w:r>
        <w:rPr>
          <w:rFonts w:hAnsi="Times New Roman"/>
          <w:b/>
          <w:sz w:val="18"/>
          <w:szCs w:val="18"/>
        </w:rPr>
        <w:t>İLİŞKİN HİZMET KALİTESİ TEBLİĞİ</w:t>
      </w:r>
    </w:p>
    <w:p w:rsidR="0031586A" w:rsidRDefault="0031586A" w:rsidP="0031586A">
      <w:pPr>
        <w:pStyle w:val="3-NormalYaz0"/>
        <w:spacing w:line="240" w:lineRule="exact"/>
        <w:jc w:val="center"/>
        <w:rPr>
          <w:rFonts w:hAnsi="Times New Roman"/>
          <w:b/>
          <w:sz w:val="18"/>
          <w:szCs w:val="18"/>
        </w:rPr>
      </w:pPr>
      <w:r>
        <w:rPr>
          <w:rFonts w:hAnsi="Times New Roman"/>
          <w:b/>
          <w:sz w:val="18"/>
          <w:szCs w:val="18"/>
        </w:rPr>
        <w:t>BİRİNCİ BÖLÜM</w:t>
      </w:r>
    </w:p>
    <w:p w:rsidR="0031586A" w:rsidRDefault="0031586A" w:rsidP="0031586A">
      <w:pPr>
        <w:pStyle w:val="3-NormalYaz0"/>
        <w:spacing w:line="240" w:lineRule="exact"/>
        <w:jc w:val="center"/>
        <w:rPr>
          <w:rFonts w:hAnsi="Times New Roman"/>
          <w:b/>
          <w:sz w:val="18"/>
          <w:szCs w:val="18"/>
        </w:rPr>
      </w:pPr>
      <w:r>
        <w:rPr>
          <w:rFonts w:hAnsi="Times New Roman"/>
          <w:b/>
          <w:sz w:val="18"/>
          <w:szCs w:val="18"/>
        </w:rPr>
        <w:t xml:space="preserve">Amaç, Kapsam, Dayanak ve Tanımlar </w:t>
      </w:r>
    </w:p>
    <w:p w:rsidR="0031586A" w:rsidRDefault="0031586A" w:rsidP="0031586A">
      <w:pPr>
        <w:pStyle w:val="3-NormalYaz0"/>
        <w:spacing w:line="240" w:lineRule="exact"/>
        <w:ind w:firstLine="566"/>
        <w:rPr>
          <w:rFonts w:hAnsi="Times New Roman"/>
          <w:b/>
          <w:sz w:val="18"/>
          <w:szCs w:val="18"/>
        </w:rPr>
      </w:pPr>
      <w:r>
        <w:rPr>
          <w:rFonts w:hAnsi="Times New Roman"/>
          <w:b/>
          <w:sz w:val="18"/>
          <w:szCs w:val="18"/>
        </w:rPr>
        <w:t>Amaç</w:t>
      </w:r>
    </w:p>
    <w:p w:rsidR="0031586A" w:rsidRDefault="0031586A" w:rsidP="0031586A">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Tebliğin amacı; mobil elektronik haberleşme hizmeti sunan işletmeciler hariç elektronik haberleşme alt yapısı üzerinden internet servis sağlayıcılığı hizmeti sunan işletmecilerin, hizmet kalitesi ölçüt ve hedef değerlerinin tespiti ile ölçümlerinin yapılmasına ilişkin usul ve esasları belirlemektir.</w:t>
      </w:r>
    </w:p>
    <w:p w:rsidR="0031586A" w:rsidRDefault="0031586A" w:rsidP="0031586A">
      <w:pPr>
        <w:pStyle w:val="3-NormalYaz0"/>
        <w:spacing w:line="240" w:lineRule="exact"/>
        <w:ind w:firstLine="566"/>
        <w:rPr>
          <w:rFonts w:hAnsi="Times New Roman"/>
          <w:b/>
          <w:sz w:val="18"/>
          <w:szCs w:val="18"/>
        </w:rPr>
      </w:pPr>
      <w:r>
        <w:rPr>
          <w:rFonts w:hAnsi="Times New Roman"/>
          <w:b/>
          <w:sz w:val="18"/>
          <w:szCs w:val="18"/>
        </w:rPr>
        <w:t>Kapsam</w:t>
      </w:r>
    </w:p>
    <w:p w:rsidR="0031586A" w:rsidRDefault="0031586A" w:rsidP="0031586A">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 elektronik haberleşme alt yapısı üzerinden internet servis sağlayıcılığı hizmetinin, ulusal ve uluslararası hizmet kalitesi standartlarına uygun olarak sunulması amacıyla hizmet kalitesi ölçüt ve hedef değerlerinin belirlenmesi, ölçümlerinin yapılması ile denetimine ilişkin usul ve esasları kapsar. </w:t>
      </w:r>
    </w:p>
    <w:p w:rsidR="0031586A" w:rsidRDefault="0031586A" w:rsidP="0031586A">
      <w:pPr>
        <w:pStyle w:val="3-NormalYaz0"/>
        <w:spacing w:line="240" w:lineRule="exact"/>
        <w:ind w:firstLine="566"/>
        <w:rPr>
          <w:rFonts w:hAnsi="Times New Roman"/>
          <w:b/>
          <w:sz w:val="18"/>
          <w:szCs w:val="18"/>
        </w:rPr>
      </w:pPr>
      <w:r>
        <w:rPr>
          <w:rFonts w:hAnsi="Times New Roman"/>
          <w:b/>
          <w:sz w:val="18"/>
          <w:szCs w:val="18"/>
        </w:rPr>
        <w:t>Dayanak</w:t>
      </w:r>
    </w:p>
    <w:p w:rsidR="0031586A" w:rsidRDefault="0031586A" w:rsidP="0031586A">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 xml:space="preserve">(1) Bu Tebliğ, </w:t>
      </w:r>
      <w:proofErr w:type="gramStart"/>
      <w:r>
        <w:rPr>
          <w:rFonts w:hAnsi="Times New Roman"/>
          <w:sz w:val="18"/>
          <w:szCs w:val="18"/>
        </w:rPr>
        <w:t>12/9/2010</w:t>
      </w:r>
      <w:proofErr w:type="gramEnd"/>
      <w:r>
        <w:rPr>
          <w:rFonts w:hAnsi="Times New Roman"/>
          <w:sz w:val="18"/>
          <w:szCs w:val="18"/>
        </w:rPr>
        <w:t xml:space="preserve"> tarihli ve 27697 sayılı Resmî Gazete’de yayımlanan Elektronik Haberleşme Sektöründe Hizmet Kalitesi Yönetmeliğine dayanılarak hazırlanmıştır.  </w:t>
      </w:r>
    </w:p>
    <w:p w:rsidR="0031586A" w:rsidRDefault="0031586A" w:rsidP="0031586A">
      <w:pPr>
        <w:pStyle w:val="3-NormalYaz0"/>
        <w:spacing w:line="240" w:lineRule="exact"/>
        <w:ind w:firstLine="566"/>
        <w:rPr>
          <w:rFonts w:hAnsi="Times New Roman"/>
          <w:b/>
          <w:sz w:val="18"/>
          <w:szCs w:val="18"/>
        </w:rPr>
      </w:pPr>
      <w:r>
        <w:rPr>
          <w:rFonts w:hAnsi="Times New Roman"/>
          <w:b/>
          <w:sz w:val="18"/>
          <w:szCs w:val="18"/>
        </w:rPr>
        <w:t xml:space="preserve">Tanımlar </w:t>
      </w:r>
    </w:p>
    <w:p w:rsidR="0031586A" w:rsidRDefault="0031586A" w:rsidP="0031586A">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Bu Tebliğde geçen;</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a) Abone: Bir işletmeci ile elektronik haberleşme hizmetinin sunumuna yönelik olarak yapılan bir sözleşmeye taraf olan gerçek ya da tüzel kişiyi,</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b) Abone hattı: Abone ile taşıma şebekesi arasındaki bağlantıyı sağlayan işletmeci sorumluluğundaki şebeke bileşenlerini,</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c) Elektronik haberleşme: Elektriksel işaretlere dönüştürülebilen her türlü işaret, sembol, ses, görüntü ve verinin kablo, telsiz, optik, elektrik, manyetik, elektromanyetik, elektrokimyasal, elektromekanik ve diğer iletim sistemleri vasıtasıyla iletilmesini, gönderilmesini ve alınmasını,</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ç) Elektronik haberleşme hizmeti: Elektronik haberleşme tanımına giren faaliyetlerin bir kısmının veya tamamının hizmet olarak sunulmasını,</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d) ETSI: Avrupa Telekomünikasyon Standartları Enstitüsünü,</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e) İSS: İnternet Servis Sağlayıcılığını,</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f) İşletmeci: Yetkilendirme çerçevesinde elektronik haberleşme hizmeti sunan ve/veya elektronik haberleşme şebekesi sağlayan ve alt yapısını işleten şirketi,</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g) Kullanıcı: Aboneliği olup olmamasına bakılmaksızın elektronik haberleşme hizmetlerinden yararlanan gerçek veya tüzel kişiyi,</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ğ) Kurul: Bilgi Teknolojileri ve İletişim Kurulunu,</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h) Kurum: Bilgi Teknolojileri ve İletişim Kurumunu,</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ı) Ölçüm dönemi: Ocak, Nisan, Temmuz, Ekim aylarının birinci günleri ile başlayan üçer aylık zaman dilimini,</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 xml:space="preserve">i) Ölçüt: Hizmetin kapsamı ve sınırları belirlenmiş ölçülebilir özelliğini, </w:t>
      </w:r>
    </w:p>
    <w:p w:rsidR="0031586A" w:rsidRDefault="0031586A" w:rsidP="0031586A">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(2) Bu Tebliğde geçen ve yukarıda yer almayan tanımlar için ilgili mevzuatta yer alan tanımlar geçerlidir.</w:t>
      </w:r>
    </w:p>
    <w:p w:rsidR="0031586A" w:rsidRDefault="0031586A" w:rsidP="0031586A">
      <w:pPr>
        <w:pStyle w:val="3-NormalYaz0"/>
        <w:spacing w:line="240" w:lineRule="exact"/>
        <w:jc w:val="center"/>
        <w:rPr>
          <w:rFonts w:hAnsi="Times New Roman"/>
          <w:b/>
          <w:sz w:val="18"/>
          <w:szCs w:val="18"/>
        </w:rPr>
      </w:pPr>
      <w:r>
        <w:rPr>
          <w:rFonts w:hAnsi="Times New Roman"/>
          <w:b/>
          <w:sz w:val="18"/>
          <w:szCs w:val="18"/>
        </w:rPr>
        <w:t>İKİNCİ BÖLÜM</w:t>
      </w:r>
    </w:p>
    <w:p w:rsidR="0031586A" w:rsidRDefault="0031586A" w:rsidP="0031586A">
      <w:pPr>
        <w:pStyle w:val="3-NormalYaz0"/>
        <w:spacing w:line="240" w:lineRule="exact"/>
        <w:jc w:val="center"/>
        <w:rPr>
          <w:rFonts w:hAnsi="Times New Roman"/>
          <w:b/>
          <w:sz w:val="18"/>
          <w:szCs w:val="18"/>
        </w:rPr>
      </w:pPr>
      <w:r>
        <w:rPr>
          <w:rFonts w:hAnsi="Times New Roman"/>
          <w:b/>
          <w:sz w:val="18"/>
          <w:szCs w:val="18"/>
        </w:rPr>
        <w:t>Ölçütler ve Uyulacak Kurallar</w:t>
      </w:r>
    </w:p>
    <w:p w:rsidR="0031586A" w:rsidRDefault="0031586A" w:rsidP="0031586A">
      <w:pPr>
        <w:pStyle w:val="3-NormalYaz0"/>
        <w:spacing w:line="240" w:lineRule="exact"/>
        <w:ind w:firstLine="566"/>
        <w:rPr>
          <w:rFonts w:hAnsi="Times New Roman"/>
          <w:b/>
          <w:sz w:val="18"/>
          <w:szCs w:val="18"/>
        </w:rPr>
      </w:pPr>
      <w:r>
        <w:rPr>
          <w:rFonts w:hAnsi="Times New Roman"/>
          <w:b/>
          <w:sz w:val="18"/>
          <w:szCs w:val="18"/>
        </w:rPr>
        <w:t>Veri aktarım hızı</w:t>
      </w:r>
    </w:p>
    <w:p w:rsidR="0031586A" w:rsidRDefault="0031586A" w:rsidP="0031586A">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Veri aktarım hızı, kullanıcı </w:t>
      </w:r>
      <w:proofErr w:type="gramStart"/>
      <w:r>
        <w:rPr>
          <w:rFonts w:hAnsi="Times New Roman"/>
          <w:sz w:val="18"/>
          <w:szCs w:val="18"/>
        </w:rPr>
        <w:t>ekipmanı</w:t>
      </w:r>
      <w:proofErr w:type="gramEnd"/>
      <w:r>
        <w:rPr>
          <w:rFonts w:hAnsi="Times New Roman"/>
          <w:sz w:val="18"/>
          <w:szCs w:val="18"/>
        </w:rPr>
        <w:t xml:space="preserve"> ile test amaçlı belirlenmiş dosyanın indirilmesi ve/veya gönderilmesinde tespit edilen hızı ifade eder.</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 xml:space="preserve">(2) Veri aktarım hızı, test dosyasının boyutunun tam ve hatasız aktarım için geçen aktarım süresine bölünmesiyle </w:t>
      </w:r>
      <w:proofErr w:type="spellStart"/>
      <w:r>
        <w:rPr>
          <w:rFonts w:hAnsi="Times New Roman"/>
          <w:sz w:val="18"/>
          <w:szCs w:val="18"/>
        </w:rPr>
        <w:t>kbit</w:t>
      </w:r>
      <w:proofErr w:type="spellEnd"/>
      <w:r>
        <w:rPr>
          <w:rFonts w:hAnsi="Times New Roman"/>
          <w:sz w:val="18"/>
          <w:szCs w:val="18"/>
        </w:rPr>
        <w:t>/sn cinsinden hesaplanır. Aktarım süresi, erişim ağının aktarımı başlatmak için gerekli bilgiyi aldığı anda başlar ve test dosyasının son verisini almasıyla sona erer.</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(3) Veri aktarım hızına ilişkin ölçümler şunlardır:</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 xml:space="preserve">a) İndirme için ortalama veri aktarım hızı, </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b) İndirme için veri aktarım hızı standart sapması,</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c) Tüm indirme işlemlerinin en hızlı %95’inin gerçekleştirilmesinde ulaşılan hız,</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 xml:space="preserve">ç) Gönderme için ortalama veri aktarım hızı, </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d) Gönderme için veri aktarım hızı standart sapması,</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e) Tüm gönderme işlemlerinin en hızlı %95’inin gerçekleştirilmesinde ulaşılan hız,</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lastRenderedPageBreak/>
        <w:t>f) İndirme işlemleri için yapılan gözlem sayısı,</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g) Gönderme işlemleri için yapılan gözlem sayısı.</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(4) Üçüncü fıkranın (c) ve (e) bentlerinde belirtilen ölçümler için ek-1’de yer alan açıklamalar dikkate alınır.</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 xml:space="preserve">(5) Veri aktarım hızı ölçütüne eksik ve/veya hatalı aktarımlar </w:t>
      </w:r>
      <w:proofErr w:type="gramStart"/>
      <w:r>
        <w:rPr>
          <w:rFonts w:hAnsi="Times New Roman"/>
          <w:sz w:val="18"/>
          <w:szCs w:val="18"/>
        </w:rPr>
        <w:t>dahil</w:t>
      </w:r>
      <w:proofErr w:type="gramEnd"/>
      <w:r>
        <w:rPr>
          <w:rFonts w:hAnsi="Times New Roman"/>
          <w:sz w:val="18"/>
          <w:szCs w:val="18"/>
        </w:rPr>
        <w:t xml:space="preserve"> değildir.</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 xml:space="preserve">(6) Veri aktarım hızı ile ilgili ölçümler, ölçüm döneminde yer alan her bir ay için örnekleme esasına dayalı test bağlantısı gözlemleri üzerinden yapılır. </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 xml:space="preserve">(7) Örnekleme yapılırken, üçüncü fıkranın (a), (b), (c), (ç), (d) ve (e) bentlerinde belirtilen her bir ölçüm için gözlem sayısının belirlenmesinde ek-2, gözlem yerinin belirlenmesinde ise ek-3 kullanılır. Söz konusu ölçümler, ek-4’te yer alan kuruluma göre en az indirmede 15 </w:t>
      </w:r>
      <w:proofErr w:type="spellStart"/>
      <w:r>
        <w:rPr>
          <w:rFonts w:hAnsi="Times New Roman"/>
          <w:sz w:val="18"/>
          <w:szCs w:val="18"/>
        </w:rPr>
        <w:t>Mbyte</w:t>
      </w:r>
      <w:proofErr w:type="spellEnd"/>
      <w:r>
        <w:rPr>
          <w:rFonts w:hAnsi="Times New Roman"/>
          <w:sz w:val="18"/>
          <w:szCs w:val="18"/>
        </w:rPr>
        <w:t xml:space="preserve"> göndermede ise 5 </w:t>
      </w:r>
      <w:proofErr w:type="spellStart"/>
      <w:r>
        <w:rPr>
          <w:rFonts w:hAnsi="Times New Roman"/>
          <w:sz w:val="18"/>
          <w:szCs w:val="18"/>
        </w:rPr>
        <w:t>Mbyte</w:t>
      </w:r>
      <w:proofErr w:type="spellEnd"/>
      <w:r>
        <w:rPr>
          <w:rFonts w:hAnsi="Times New Roman"/>
          <w:sz w:val="18"/>
          <w:szCs w:val="18"/>
        </w:rPr>
        <w:t xml:space="preserve"> büyüklüğünde test dosyası kullanılarak yapılır. </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 xml:space="preserve">(8) Fiber internet, </w:t>
      </w:r>
      <w:proofErr w:type="spellStart"/>
      <w:r>
        <w:rPr>
          <w:rFonts w:hAnsi="Times New Roman"/>
          <w:sz w:val="18"/>
          <w:szCs w:val="18"/>
        </w:rPr>
        <w:t>xDSL</w:t>
      </w:r>
      <w:proofErr w:type="spellEnd"/>
      <w:r>
        <w:rPr>
          <w:rFonts w:hAnsi="Times New Roman"/>
          <w:sz w:val="18"/>
          <w:szCs w:val="18"/>
        </w:rPr>
        <w:t xml:space="preserve">, kablo internet gibi bağlantı çeşitleri için verilen hizmetlere ilişkin ölçüm sonuçları ayrı </w:t>
      </w:r>
      <w:proofErr w:type="spellStart"/>
      <w:r>
        <w:rPr>
          <w:rFonts w:hAnsi="Times New Roman"/>
          <w:sz w:val="18"/>
          <w:szCs w:val="18"/>
        </w:rPr>
        <w:t>ayrı</w:t>
      </w:r>
      <w:proofErr w:type="spellEnd"/>
      <w:r>
        <w:rPr>
          <w:rFonts w:hAnsi="Times New Roman"/>
          <w:sz w:val="18"/>
          <w:szCs w:val="18"/>
        </w:rPr>
        <w:t xml:space="preserve"> gruplandırılarak raporlandırılmalıdır.</w:t>
      </w:r>
    </w:p>
    <w:p w:rsidR="0031586A" w:rsidRDefault="0031586A" w:rsidP="0031586A">
      <w:pPr>
        <w:pStyle w:val="3-NormalYaz0"/>
        <w:spacing w:line="240" w:lineRule="exact"/>
        <w:ind w:firstLine="566"/>
        <w:rPr>
          <w:rFonts w:hAnsi="Times New Roman"/>
          <w:b/>
          <w:sz w:val="18"/>
          <w:szCs w:val="18"/>
        </w:rPr>
      </w:pPr>
      <w:r>
        <w:rPr>
          <w:rFonts w:hAnsi="Times New Roman"/>
          <w:b/>
          <w:sz w:val="18"/>
          <w:szCs w:val="18"/>
        </w:rPr>
        <w:t xml:space="preserve">Bağlantı süresi </w:t>
      </w:r>
    </w:p>
    <w:p w:rsidR="0031586A" w:rsidRDefault="0031586A" w:rsidP="0031586A">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Bağlantı süresi; işletmecinin geçerli bir bağlantı talebi aldığı günden, aboneye hizmeti çalışır durumda verdiği güne kadar geçen süredir. </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(2) Bağlantı süresi;</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 xml:space="preserve">a) Tüm resmi tatiller de dâhil olmak üzere gün cinsinden ölçülür. </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b) Abonelik sözleşmesinin imzalandığı andan itibaren başlar.</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 xml:space="preserve">c) Abonenin işletmeciden birden fazla hizmet talep etmesi veya birden fazla yer için bağlantı talebinde bulunması durumunda her bir hizmet talebi veya bağlantı talep edilen yer için ayrı </w:t>
      </w:r>
      <w:proofErr w:type="spellStart"/>
      <w:r>
        <w:rPr>
          <w:rFonts w:hAnsi="Times New Roman"/>
          <w:sz w:val="18"/>
          <w:szCs w:val="18"/>
        </w:rPr>
        <w:t>ayrı</w:t>
      </w:r>
      <w:proofErr w:type="spellEnd"/>
      <w:r>
        <w:rPr>
          <w:rFonts w:hAnsi="Times New Roman"/>
          <w:sz w:val="18"/>
          <w:szCs w:val="18"/>
        </w:rPr>
        <w:t xml:space="preserve"> ölçülür. </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(3) Bağlantı süresi ölçütüne;</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a) İlk abonelik talebi,</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b) Mevcut bir aboneliğin başka bir kullanıcıya devredilmesi,</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c) Mevcut bir aboneliğe ilave olarak yeni bir abonelik talebi,</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ç) Aboneye ilgili hizmetin sunulmasında kullanılan teknolojinin yenilenmesi</w:t>
      </w:r>
    </w:p>
    <w:p w:rsidR="0031586A" w:rsidRDefault="0031586A" w:rsidP="0031586A">
      <w:pPr>
        <w:pStyle w:val="3-NormalYaz0"/>
        <w:spacing w:line="240" w:lineRule="exact"/>
        <w:ind w:firstLine="566"/>
        <w:rPr>
          <w:rFonts w:hAnsi="Times New Roman"/>
          <w:sz w:val="18"/>
          <w:szCs w:val="18"/>
        </w:rPr>
      </w:pPr>
      <w:proofErr w:type="gramStart"/>
      <w:r>
        <w:rPr>
          <w:rFonts w:hAnsi="Times New Roman"/>
          <w:sz w:val="18"/>
          <w:szCs w:val="18"/>
        </w:rPr>
        <w:t>dahildir</w:t>
      </w:r>
      <w:proofErr w:type="gramEnd"/>
      <w:r>
        <w:rPr>
          <w:rFonts w:hAnsi="Times New Roman"/>
          <w:sz w:val="18"/>
          <w:szCs w:val="18"/>
        </w:rPr>
        <w:t>.</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(4) Bağlantı süresi ölçütüne;</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a) İptal edilen abonelik talepleri,</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 xml:space="preserve">b) Bir abonenin işletmecisini değiştirdiği ve bağlantı süresini bildirmekten sorumlu yeni işletmecinin abone hattı olarak yerel ağa ayrıştırılmış erişim veya veri akış erişimi gibi toptan erişim yöntemlerini kullandığı durumlar, </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c) Abonenin bağlantı için; ileri tarih talebinde bulunduğu, işletmeci ile bir tarih üzerinde anlaştığı, üzerinde anlaşılan zamanda bağlantı yapılacak adreste bulunmadığı, yanlış adres bildirdiği durumlar,</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 xml:space="preserve">ç) Abonenin mülkiyetinde veya sorumluluğunda olan bir </w:t>
      </w:r>
      <w:proofErr w:type="gramStart"/>
      <w:r>
        <w:rPr>
          <w:rFonts w:hAnsi="Times New Roman"/>
          <w:sz w:val="18"/>
          <w:szCs w:val="18"/>
        </w:rPr>
        <w:t>ekipmanı</w:t>
      </w:r>
      <w:proofErr w:type="gramEnd"/>
      <w:r>
        <w:rPr>
          <w:rFonts w:hAnsi="Times New Roman"/>
          <w:sz w:val="18"/>
          <w:szCs w:val="18"/>
        </w:rPr>
        <w:t xml:space="preserve"> zamanında temin etmediği veya bu ekipmanın yetersiz olduğu durumlar,</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 xml:space="preserve">d) İşletmecinin sorumluluğunda olmayan bina içi tesisatın yetersiz olduğu durumlar, </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 xml:space="preserve">e) Abonelik nakil talepleri </w:t>
      </w:r>
    </w:p>
    <w:p w:rsidR="0031586A" w:rsidRDefault="0031586A" w:rsidP="0031586A">
      <w:pPr>
        <w:pStyle w:val="3-NormalYaz0"/>
        <w:spacing w:line="240" w:lineRule="exact"/>
        <w:ind w:firstLine="566"/>
        <w:rPr>
          <w:rFonts w:hAnsi="Times New Roman"/>
          <w:sz w:val="18"/>
          <w:szCs w:val="18"/>
        </w:rPr>
      </w:pPr>
      <w:proofErr w:type="gramStart"/>
      <w:r>
        <w:rPr>
          <w:rFonts w:hAnsi="Times New Roman"/>
          <w:sz w:val="18"/>
          <w:szCs w:val="18"/>
        </w:rPr>
        <w:t>dahil</w:t>
      </w:r>
      <w:proofErr w:type="gramEnd"/>
      <w:r>
        <w:rPr>
          <w:rFonts w:hAnsi="Times New Roman"/>
          <w:sz w:val="18"/>
          <w:szCs w:val="18"/>
        </w:rPr>
        <w:t xml:space="preserve"> değildir. </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(5) Bağlantı süresine ilişkin ölçümler şunlardır:</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a) Tüm taleplerin en hızlı karşılanan %50’sinin yerine getirilmesinde geçen süre,</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b) Tüm taleplerin en hızlı karşılanan %95’inin yerine getirilmesinde geçen süre,</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c) Tüm taleplerin en hızlı karşılanan %99’unun yerine getirilmesinde geçen süre.</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(6) Bağlantı süresi ölçütüne ilişkin ölçümler, ölçüm döneminde yer alan her bir ay için verilerin tümü üzerinden, ek-1’de verilen açıklamalar dikkate alınarak yapılır.</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 xml:space="preserve">(7) Fiber internet, </w:t>
      </w:r>
      <w:proofErr w:type="spellStart"/>
      <w:r>
        <w:rPr>
          <w:rFonts w:hAnsi="Times New Roman"/>
          <w:sz w:val="18"/>
          <w:szCs w:val="18"/>
        </w:rPr>
        <w:t>xDSL</w:t>
      </w:r>
      <w:proofErr w:type="spellEnd"/>
      <w:r>
        <w:rPr>
          <w:rFonts w:hAnsi="Times New Roman"/>
          <w:sz w:val="18"/>
          <w:szCs w:val="18"/>
        </w:rPr>
        <w:t xml:space="preserve">, kablo internet gibi bağlantı çeşitleri için verilen hizmetlere ilişkin ölçüm sonuçları ayrı </w:t>
      </w:r>
      <w:proofErr w:type="spellStart"/>
      <w:r>
        <w:rPr>
          <w:rFonts w:hAnsi="Times New Roman"/>
          <w:sz w:val="18"/>
          <w:szCs w:val="18"/>
        </w:rPr>
        <w:t>ayrı</w:t>
      </w:r>
      <w:proofErr w:type="spellEnd"/>
      <w:r>
        <w:rPr>
          <w:rFonts w:hAnsi="Times New Roman"/>
          <w:sz w:val="18"/>
          <w:szCs w:val="18"/>
        </w:rPr>
        <w:t xml:space="preserve"> gruplandırılarak raporlandırılmalıdır.</w:t>
      </w:r>
    </w:p>
    <w:p w:rsidR="0031586A" w:rsidRDefault="0031586A" w:rsidP="0031586A">
      <w:pPr>
        <w:pStyle w:val="3-NormalYaz0"/>
        <w:spacing w:line="240" w:lineRule="exact"/>
        <w:ind w:firstLine="566"/>
        <w:rPr>
          <w:rFonts w:hAnsi="Times New Roman"/>
          <w:b/>
          <w:sz w:val="18"/>
          <w:szCs w:val="18"/>
        </w:rPr>
      </w:pPr>
      <w:r>
        <w:rPr>
          <w:rFonts w:hAnsi="Times New Roman"/>
          <w:b/>
          <w:sz w:val="18"/>
          <w:szCs w:val="18"/>
        </w:rPr>
        <w:t>Fatura şikâyeti oranı</w:t>
      </w:r>
    </w:p>
    <w:p w:rsidR="0031586A" w:rsidRDefault="0031586A" w:rsidP="0031586A">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Fatura şikâyeti oranı; geçerli olup olmamasına bakılmaksızın, internet kullanım süresi, tarife, hizmet, indirimler, kampanyalar, vergi de </w:t>
      </w:r>
      <w:proofErr w:type="gramStart"/>
      <w:r>
        <w:rPr>
          <w:rFonts w:hAnsi="Times New Roman"/>
          <w:sz w:val="18"/>
          <w:szCs w:val="18"/>
        </w:rPr>
        <w:t>dahil</w:t>
      </w:r>
      <w:proofErr w:type="gramEnd"/>
      <w:r>
        <w:rPr>
          <w:rFonts w:hAnsi="Times New Roman"/>
          <w:sz w:val="18"/>
          <w:szCs w:val="18"/>
        </w:rPr>
        <w:t xml:space="preserve"> olmak üzere toplam tutar gibi hususların doğruluğu konularında bildirilen şikayetlere konu fatura sayısının toplam fatura sayısına oranı olarak hesaplanır. </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(2) Şikâyetin geçerliliğine, bağlantı tarihlerine veya şikâyet konusuna bakılmaksızın fatura ile ilgili tüm şikâyetler ölçümlere dâhildir.</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 xml:space="preserve">(3) Fatura şikâyeti oranı ile ilgili ölçümlere, fatura bilgisi sorgulama ve arıza bildirimleri </w:t>
      </w:r>
      <w:proofErr w:type="gramStart"/>
      <w:r>
        <w:rPr>
          <w:rFonts w:hAnsi="Times New Roman"/>
          <w:sz w:val="18"/>
          <w:szCs w:val="18"/>
        </w:rPr>
        <w:t>dahil</w:t>
      </w:r>
      <w:proofErr w:type="gramEnd"/>
      <w:r>
        <w:rPr>
          <w:rFonts w:hAnsi="Times New Roman"/>
          <w:sz w:val="18"/>
          <w:szCs w:val="18"/>
        </w:rPr>
        <w:t xml:space="preserve"> değildir. </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(4) Fatura şikâyeti oranı ile ilgili ölçümler, ölçüm döneminde yer alan her bir ay için verilerin tümü üzerinden yapılır.</w:t>
      </w:r>
    </w:p>
    <w:p w:rsidR="0031586A" w:rsidRDefault="0031586A" w:rsidP="0031586A">
      <w:pPr>
        <w:pStyle w:val="3-NormalYaz0"/>
        <w:spacing w:line="240" w:lineRule="exact"/>
        <w:jc w:val="center"/>
        <w:rPr>
          <w:rFonts w:hAnsi="Times New Roman"/>
          <w:b/>
          <w:sz w:val="18"/>
          <w:szCs w:val="18"/>
        </w:rPr>
      </w:pPr>
      <w:r>
        <w:rPr>
          <w:rFonts w:hAnsi="Times New Roman"/>
          <w:b/>
          <w:sz w:val="18"/>
          <w:szCs w:val="18"/>
        </w:rPr>
        <w:t>ÜÇÜNCÜ BÖLÜM</w:t>
      </w:r>
    </w:p>
    <w:p w:rsidR="0031586A" w:rsidRDefault="0031586A" w:rsidP="0031586A">
      <w:pPr>
        <w:pStyle w:val="3-NormalYaz0"/>
        <w:spacing w:line="240" w:lineRule="exact"/>
        <w:jc w:val="center"/>
        <w:rPr>
          <w:rFonts w:hAnsi="Times New Roman"/>
          <w:b/>
          <w:sz w:val="18"/>
          <w:szCs w:val="18"/>
        </w:rPr>
      </w:pPr>
      <w:r>
        <w:rPr>
          <w:rFonts w:hAnsi="Times New Roman"/>
          <w:b/>
          <w:sz w:val="18"/>
          <w:szCs w:val="18"/>
        </w:rPr>
        <w:t xml:space="preserve">Yükümlülükler, Denetim, İdari Para Cezaları ve Diğer Yaptırımlar </w:t>
      </w:r>
    </w:p>
    <w:p w:rsidR="0031586A" w:rsidRDefault="0031586A" w:rsidP="0031586A">
      <w:pPr>
        <w:pStyle w:val="3-NormalYaz0"/>
        <w:spacing w:line="240" w:lineRule="exact"/>
        <w:ind w:firstLine="566"/>
        <w:rPr>
          <w:rFonts w:hAnsi="Times New Roman"/>
          <w:b/>
          <w:sz w:val="18"/>
          <w:szCs w:val="18"/>
        </w:rPr>
      </w:pPr>
      <w:r>
        <w:rPr>
          <w:rFonts w:hAnsi="Times New Roman"/>
          <w:b/>
          <w:sz w:val="18"/>
          <w:szCs w:val="18"/>
        </w:rPr>
        <w:t xml:space="preserve">Yükümlülükler </w:t>
      </w:r>
    </w:p>
    <w:p w:rsidR="0031586A" w:rsidRDefault="0031586A" w:rsidP="0031586A">
      <w:pPr>
        <w:pStyle w:val="3-NormalYaz0"/>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 xml:space="preserve">(1) Kurumumuz tarafından yayımlanan Üç Aylık Pazar Verileri Raporunda </w:t>
      </w:r>
      <w:proofErr w:type="gramStart"/>
      <w:r>
        <w:rPr>
          <w:rFonts w:hAnsi="Times New Roman"/>
          <w:sz w:val="18"/>
          <w:szCs w:val="18"/>
        </w:rPr>
        <w:t>yıl sonu</w:t>
      </w:r>
      <w:proofErr w:type="gramEnd"/>
      <w:r>
        <w:rPr>
          <w:rFonts w:hAnsi="Times New Roman"/>
          <w:sz w:val="18"/>
          <w:szCs w:val="18"/>
        </w:rPr>
        <w:t xml:space="preserve"> verilerinin yer aldığı dördüncü çeyrek için belirlenen İSS Pazar Paylarına göre pazar payı %4 ve üzerinde olan İSS’ler ve Kurumumuzla </w:t>
      </w:r>
      <w:r>
        <w:rPr>
          <w:rFonts w:hAnsi="Times New Roman"/>
          <w:sz w:val="18"/>
          <w:szCs w:val="18"/>
        </w:rPr>
        <w:lastRenderedPageBreak/>
        <w:t>görev sözleşmesi imzalamak suretiyle kablo internet hizmeti sunan işletmeciler, bu Tebliğin ek-5’inde yer alan tablodaki ölçütlere ilişkin ölçümleri yapmak ve ilgili hedef değerleri ölçüm döneminde yer alan her bir ay için sağlamakla yükümlüdür.</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(2) Bu maddenin birinci fıkrasına göre yükümlü olan işletmeciler; her yılın Ocak, Nisan, Temmuz ve Ekim ayının sonuna kadar bir önceki ölçüm dönemine ilişkin olarak yapılan hizmet kalitesi ölçümlerini, ek-5’te verilen tabloyu da içeren bir rapor hazırlayarak Kuruma gönderir.</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(3) Kurum, hizmet kalitesi ölçümlerine ilişkin raporların tamamını veya bir bölümünü yayımlama ve/veya yayımlatma yetkisine sahiptir. Kurum, her bir ölçüm dönemine ilişkin işletmeci tarafından Kuruma gönderilen hizmet kalitesi raporunu bir yıl boyunca işletmecinin internet ana sayfasından hizmet kalitesi ölçümleri bağlantısı aracılığıyla erişilebilecek şekilde yayımlatabileceği gibi söz konusu raporları kendi internet sayfasında da yayımlayabilir.</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(4) Bu maddenin birinci fıkrasına göre yükümlü olan işletmeciler; hizmet kalitesi ölçümlerine ilişkin olarak raporlanan bilgilerin doğruluğunu sağlar, ilgili kayıtları on iki ay süreyle muhafaza eder ve istendiğinde Kuruma verir. Yanlış veya eksik olduğu tespit edilen veri veya kayıtlarda gerekli düzeltmeleri verilen sürede yapar.</w:t>
      </w:r>
    </w:p>
    <w:p w:rsidR="0031586A" w:rsidRDefault="0031586A" w:rsidP="0031586A">
      <w:pPr>
        <w:pStyle w:val="3-NormalYaz0"/>
        <w:spacing w:line="240" w:lineRule="exact"/>
        <w:ind w:firstLine="566"/>
        <w:rPr>
          <w:rFonts w:hAnsi="Times New Roman"/>
          <w:sz w:val="18"/>
          <w:szCs w:val="18"/>
        </w:rPr>
      </w:pPr>
      <w:proofErr w:type="gramStart"/>
      <w:r>
        <w:rPr>
          <w:rFonts w:hAnsi="Times New Roman"/>
          <w:sz w:val="18"/>
          <w:szCs w:val="18"/>
        </w:rPr>
        <w:t xml:space="preserve">(5) Birinci fıkraya göre ilk kez yükümlü olacak işletmeciler, dördüncü çeyrek Üç Aylık Pazar Verileri Raporunun yayımlanma tarihinden altı ay sonraki ilk ölçüm döneminden itibaren bu Tebliğin ek-5’inde yer alan tablodaki ölçütlere ilişkin ölçümleri yapmak, ilgili hedef değerleri ölçüm döneminde yer alan her bir ay için sağlamak ve hizmet kalitesi raporunu Kuruma ikinci fıkrada belirtilen sürelerde düzenli olarak göndermekle yükümlüdür. </w:t>
      </w:r>
      <w:proofErr w:type="gramEnd"/>
    </w:p>
    <w:p w:rsidR="0031586A" w:rsidRDefault="0031586A" w:rsidP="0031586A">
      <w:pPr>
        <w:pStyle w:val="3-NormalYaz0"/>
        <w:spacing w:line="240" w:lineRule="exact"/>
        <w:ind w:firstLine="566"/>
        <w:rPr>
          <w:rFonts w:hAnsi="Times New Roman"/>
          <w:sz w:val="18"/>
          <w:szCs w:val="18"/>
        </w:rPr>
      </w:pPr>
      <w:proofErr w:type="gramStart"/>
      <w:r>
        <w:rPr>
          <w:rFonts w:hAnsi="Times New Roman"/>
          <w:sz w:val="18"/>
          <w:szCs w:val="18"/>
        </w:rPr>
        <w:t>(6) Birinci fıkraya göre yükümlülüğü sona eren ancak sonraki dönemlerde tekrar yükümlü olan işletmeciler; dördüncü çeyrek “Üç Aylık Pazar Verileri Raporu”nun yayımlanma tarihinden sonraki ilk ölçüm döneminden itibaren bu Tebliğin ek-5’inde yer alan tablodaki ölçütlere ilişkin ölçümleri yapmak, ilgili hedef değerleri ölçüm döneminde yer alan her bir ay için sağlamak ve hizmet kalitesi raporunu Kuruma ikinci fıkrada belirtilen sürelerde düzenli olarak göndermekle yükümlüdür.</w:t>
      </w:r>
      <w:proofErr w:type="gramEnd"/>
    </w:p>
    <w:p w:rsidR="0031586A" w:rsidRDefault="0031586A" w:rsidP="0031586A">
      <w:pPr>
        <w:pStyle w:val="3-NormalYaz0"/>
        <w:spacing w:line="240" w:lineRule="exact"/>
        <w:ind w:firstLine="566"/>
        <w:rPr>
          <w:rFonts w:hAnsi="Times New Roman"/>
          <w:sz w:val="18"/>
          <w:szCs w:val="18"/>
        </w:rPr>
      </w:pPr>
      <w:r>
        <w:rPr>
          <w:rFonts w:hAnsi="Times New Roman"/>
          <w:sz w:val="18"/>
          <w:szCs w:val="18"/>
        </w:rPr>
        <w:t xml:space="preserve">(7) Dördüncü çeyrek Üç Aylık Pazar Verileri Raporunun bir ölçüm döneminin içinde yayımlanarak işletmecinin yükümlülüğünün sona ermesi durumunda işletmeci söz konusu döneme ait hizmet kalitesi ölçümlerini tamamlayarak bu döneme ilişkin raporu Kuruma gönderir.  </w:t>
      </w:r>
    </w:p>
    <w:p w:rsidR="0031586A" w:rsidRDefault="0031586A" w:rsidP="0031586A">
      <w:pPr>
        <w:pStyle w:val="3-NormalYaz0"/>
        <w:spacing w:line="240" w:lineRule="exact"/>
        <w:ind w:firstLine="566"/>
        <w:rPr>
          <w:rFonts w:hAnsi="Times New Roman"/>
          <w:sz w:val="18"/>
          <w:szCs w:val="18"/>
        </w:rPr>
      </w:pPr>
      <w:r>
        <w:rPr>
          <w:rFonts w:hAnsi="Times New Roman"/>
          <w:sz w:val="18"/>
          <w:szCs w:val="18"/>
        </w:rPr>
        <w:t>(8) Bu maddenin birinci fıkrasına göre yükümlü olan işletmeciler; ölçümlere ilişkin ilgili mevzuatta yer almayan hususlarda ETSI EG 202 057-1ve ETSI EG 202 057-4 sayılı standartların güncel sürümlerini esas alır.</w:t>
      </w:r>
    </w:p>
    <w:p w:rsidR="0031586A" w:rsidRDefault="0031586A" w:rsidP="0031586A">
      <w:pPr>
        <w:pStyle w:val="3-NormalYaz0"/>
        <w:spacing w:line="240" w:lineRule="exact"/>
        <w:ind w:firstLine="566"/>
        <w:rPr>
          <w:rFonts w:hAnsi="Times New Roman"/>
          <w:b/>
          <w:sz w:val="18"/>
          <w:szCs w:val="18"/>
        </w:rPr>
      </w:pPr>
      <w:r>
        <w:rPr>
          <w:rFonts w:hAnsi="Times New Roman"/>
          <w:b/>
          <w:sz w:val="18"/>
          <w:szCs w:val="18"/>
        </w:rPr>
        <w:t>Denetim</w:t>
      </w:r>
    </w:p>
    <w:p w:rsidR="0031586A" w:rsidRDefault="0031586A" w:rsidP="0031586A">
      <w:pPr>
        <w:pStyle w:val="3-NormalYaz0"/>
        <w:spacing w:line="240" w:lineRule="exact"/>
        <w:ind w:firstLine="566"/>
        <w:rPr>
          <w:rFonts w:hAnsi="Times New Roman"/>
          <w:sz w:val="18"/>
          <w:szCs w:val="18"/>
        </w:rPr>
      </w:pPr>
      <w:proofErr w:type="gramStart"/>
      <w:r>
        <w:rPr>
          <w:rFonts w:hAnsi="Times New Roman"/>
          <w:b/>
          <w:sz w:val="18"/>
          <w:szCs w:val="18"/>
        </w:rPr>
        <w:t>MADDE 9 –</w:t>
      </w:r>
      <w:r>
        <w:rPr>
          <w:rFonts w:hAnsi="Times New Roman"/>
          <w:sz w:val="18"/>
          <w:szCs w:val="18"/>
        </w:rPr>
        <w:t xml:space="preserve"> (1) Kurum, bu Tebliğin 9 uncu maddesinin birinci fıkrasına göre yükümlü olan işletmeciler tarafından bildirilen ve yayımlanan hizmet kalitesine ilişkin bilgilerin doğruluğunu veya işletmecilerin belirlenen hedef değerlere uyum sağlayıp sağlamadıklarını </w:t>
      </w:r>
      <w:proofErr w:type="spellStart"/>
      <w:r>
        <w:rPr>
          <w:rFonts w:hAnsi="Times New Roman"/>
          <w:sz w:val="18"/>
          <w:szCs w:val="18"/>
        </w:rPr>
        <w:t>re’sen</w:t>
      </w:r>
      <w:proofErr w:type="spellEnd"/>
      <w:r>
        <w:rPr>
          <w:rFonts w:hAnsi="Times New Roman"/>
          <w:sz w:val="18"/>
          <w:szCs w:val="18"/>
        </w:rPr>
        <w:t xml:space="preserve"> veya şikâyet üzerine denetleyebilir veya denetletebilir, konu ile ilgili olarak gerekli gördüğü her türlü bilgi ve belgeyi talep edebilir.</w:t>
      </w:r>
      <w:proofErr w:type="gramEnd"/>
    </w:p>
    <w:p w:rsidR="0031586A" w:rsidRDefault="0031586A" w:rsidP="0031586A">
      <w:pPr>
        <w:pStyle w:val="3-NormalYaz0"/>
        <w:spacing w:line="240" w:lineRule="exact"/>
        <w:ind w:firstLine="566"/>
        <w:rPr>
          <w:rFonts w:hAnsi="Times New Roman"/>
          <w:b/>
          <w:sz w:val="18"/>
          <w:szCs w:val="18"/>
        </w:rPr>
      </w:pPr>
      <w:r>
        <w:rPr>
          <w:rFonts w:hAnsi="Times New Roman"/>
          <w:b/>
          <w:sz w:val="18"/>
          <w:szCs w:val="18"/>
        </w:rPr>
        <w:t xml:space="preserve">İdari para cezaları ve diğer yaptırımlar </w:t>
      </w:r>
    </w:p>
    <w:p w:rsidR="0031586A" w:rsidRDefault="0031586A" w:rsidP="0031586A">
      <w:pPr>
        <w:pStyle w:val="3-NormalYaz0"/>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 xml:space="preserve">(1) Bu Tebliğ kapsamında yükümlü olan işletmecilerin yükümlülüklerini yerine getirmemesi durumunda </w:t>
      </w:r>
      <w:proofErr w:type="gramStart"/>
      <w:r>
        <w:rPr>
          <w:rFonts w:hAnsi="Times New Roman"/>
          <w:sz w:val="18"/>
          <w:szCs w:val="18"/>
        </w:rPr>
        <w:t>12/9/2010</w:t>
      </w:r>
      <w:proofErr w:type="gramEnd"/>
      <w:r>
        <w:rPr>
          <w:rFonts w:hAnsi="Times New Roman"/>
          <w:sz w:val="18"/>
          <w:szCs w:val="18"/>
        </w:rPr>
        <w:t xml:space="preserve"> tarihli ve 27697 sayılı Resmî Gazete’de yayımlanan Elektronik Haberleşme Sektöründe Hizmet Kalitesi Yönetmeliğinin idari para cezaları ile diğer yaptırımlar başlıklı 9 uncu maddesi hükümleri uygulanır. </w:t>
      </w:r>
    </w:p>
    <w:p w:rsidR="0031586A" w:rsidRDefault="0031586A" w:rsidP="0031586A">
      <w:pPr>
        <w:pStyle w:val="3-NormalYaz0"/>
        <w:spacing w:line="240" w:lineRule="exact"/>
        <w:jc w:val="center"/>
        <w:rPr>
          <w:rFonts w:hAnsi="Times New Roman"/>
          <w:b/>
          <w:sz w:val="18"/>
          <w:szCs w:val="18"/>
        </w:rPr>
      </w:pPr>
      <w:r>
        <w:rPr>
          <w:rFonts w:hAnsi="Times New Roman"/>
          <w:b/>
          <w:sz w:val="18"/>
          <w:szCs w:val="18"/>
        </w:rPr>
        <w:t xml:space="preserve">DÖRDÜNCÜ BÖLÜM </w:t>
      </w:r>
    </w:p>
    <w:p w:rsidR="0031586A" w:rsidRDefault="0031586A" w:rsidP="0031586A">
      <w:pPr>
        <w:pStyle w:val="3-NormalYaz0"/>
        <w:spacing w:line="240" w:lineRule="exact"/>
        <w:jc w:val="center"/>
        <w:rPr>
          <w:rFonts w:hAnsi="Times New Roman"/>
          <w:b/>
          <w:sz w:val="18"/>
          <w:szCs w:val="18"/>
        </w:rPr>
      </w:pPr>
      <w:r>
        <w:rPr>
          <w:rFonts w:hAnsi="Times New Roman"/>
          <w:b/>
          <w:sz w:val="18"/>
          <w:szCs w:val="18"/>
        </w:rPr>
        <w:t xml:space="preserve">Çeşitli ve Son Hükümler </w:t>
      </w:r>
    </w:p>
    <w:p w:rsidR="0031586A" w:rsidRDefault="0031586A" w:rsidP="0031586A">
      <w:pPr>
        <w:pStyle w:val="3-NormalYaz0"/>
        <w:spacing w:line="240" w:lineRule="exact"/>
        <w:ind w:firstLine="566"/>
        <w:rPr>
          <w:rFonts w:hAnsi="Times New Roman"/>
          <w:b/>
          <w:sz w:val="18"/>
          <w:szCs w:val="18"/>
        </w:rPr>
      </w:pPr>
      <w:r>
        <w:rPr>
          <w:rFonts w:hAnsi="Times New Roman"/>
          <w:b/>
          <w:sz w:val="18"/>
          <w:szCs w:val="18"/>
        </w:rPr>
        <w:t>Geçiş hükmü</w:t>
      </w:r>
    </w:p>
    <w:p w:rsidR="0031586A" w:rsidRDefault="0031586A" w:rsidP="0031586A">
      <w:pPr>
        <w:pStyle w:val="3-NormalYaz0"/>
        <w:spacing w:line="240" w:lineRule="exact"/>
        <w:ind w:firstLine="566"/>
        <w:rPr>
          <w:rFonts w:hAnsi="Times New Roman"/>
          <w:sz w:val="18"/>
          <w:szCs w:val="18"/>
        </w:rPr>
      </w:pPr>
      <w:r>
        <w:rPr>
          <w:rFonts w:hAnsi="Times New Roman"/>
          <w:b/>
          <w:sz w:val="18"/>
          <w:szCs w:val="18"/>
        </w:rPr>
        <w:t xml:space="preserve">GEÇİCİ MADDE 1 – </w:t>
      </w:r>
      <w:r>
        <w:rPr>
          <w:rFonts w:hAnsi="Times New Roman"/>
          <w:sz w:val="18"/>
          <w:szCs w:val="18"/>
        </w:rPr>
        <w:t xml:space="preserve">(1) Bu Tebliğde yer alan yükümlülükler Kurumumuzla görev sözleşmesi imzalamak suretiyle kablo internet hizmeti sunan işletmeciler için </w:t>
      </w:r>
      <w:proofErr w:type="gramStart"/>
      <w:r>
        <w:rPr>
          <w:rFonts w:hAnsi="Times New Roman"/>
          <w:sz w:val="18"/>
          <w:szCs w:val="18"/>
        </w:rPr>
        <w:t>1/1/2013</w:t>
      </w:r>
      <w:proofErr w:type="gramEnd"/>
      <w:r>
        <w:rPr>
          <w:rFonts w:hAnsi="Times New Roman"/>
          <w:sz w:val="18"/>
          <w:szCs w:val="18"/>
        </w:rPr>
        <w:t xml:space="preserve"> tarihinden itibaren başlar.</w:t>
      </w:r>
    </w:p>
    <w:p w:rsidR="0031586A" w:rsidRDefault="0031586A" w:rsidP="0031586A">
      <w:pPr>
        <w:pStyle w:val="3-NormalYaz0"/>
        <w:spacing w:line="240" w:lineRule="exact"/>
        <w:ind w:firstLine="566"/>
        <w:rPr>
          <w:rFonts w:hAnsi="Times New Roman"/>
          <w:b/>
          <w:sz w:val="18"/>
          <w:szCs w:val="18"/>
        </w:rPr>
      </w:pPr>
      <w:r>
        <w:rPr>
          <w:rFonts w:hAnsi="Times New Roman"/>
          <w:b/>
          <w:sz w:val="18"/>
          <w:szCs w:val="18"/>
        </w:rPr>
        <w:t>Yürürlük</w:t>
      </w:r>
    </w:p>
    <w:p w:rsidR="0031586A" w:rsidRDefault="0031586A" w:rsidP="0031586A">
      <w:pPr>
        <w:pStyle w:val="3-NormalYaz0"/>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 xml:space="preserve">(1) Bu Tebliğ yayımı tarihinde yürürlüğe girer. </w:t>
      </w:r>
    </w:p>
    <w:p w:rsidR="0031586A" w:rsidRDefault="0031586A" w:rsidP="0031586A">
      <w:pPr>
        <w:pStyle w:val="3-NormalYaz0"/>
        <w:spacing w:line="240" w:lineRule="exact"/>
        <w:ind w:firstLine="566"/>
        <w:rPr>
          <w:rFonts w:hAnsi="Times New Roman"/>
          <w:b/>
          <w:sz w:val="18"/>
          <w:szCs w:val="18"/>
        </w:rPr>
      </w:pPr>
      <w:r>
        <w:rPr>
          <w:rFonts w:hAnsi="Times New Roman"/>
          <w:b/>
          <w:sz w:val="18"/>
          <w:szCs w:val="18"/>
        </w:rPr>
        <w:t>Yürütme</w:t>
      </w:r>
    </w:p>
    <w:p w:rsidR="0031586A" w:rsidRDefault="0031586A" w:rsidP="0031586A">
      <w:pPr>
        <w:pStyle w:val="3-NormalYaz0"/>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(1) Bu Tebliğ hükümlerini Bilgi Teknolojileri ve İletişim Kurulu Başkanı yürütür.</w:t>
      </w:r>
    </w:p>
    <w:p w:rsidR="0031586A" w:rsidRDefault="0031586A" w:rsidP="0031586A">
      <w:pPr>
        <w:pStyle w:val="3-NormalYaz0"/>
        <w:spacing w:line="240" w:lineRule="exact"/>
        <w:jc w:val="center"/>
        <w:rPr>
          <w:rFonts w:hAnsi="Times New Roman"/>
          <w:sz w:val="18"/>
          <w:szCs w:val="18"/>
        </w:rPr>
      </w:pPr>
    </w:p>
    <w:p w:rsidR="0031586A" w:rsidRDefault="0031586A" w:rsidP="0031586A">
      <w:pPr>
        <w:pStyle w:val="3-NormalYaz0"/>
        <w:spacing w:line="240" w:lineRule="exact"/>
        <w:jc w:val="center"/>
        <w:rPr>
          <w:rFonts w:hAnsi="Times New Roman"/>
          <w:sz w:val="18"/>
          <w:szCs w:val="18"/>
        </w:rPr>
      </w:pPr>
    </w:p>
    <w:p w:rsidR="0031586A" w:rsidRDefault="0031586A" w:rsidP="0031586A">
      <w:pPr>
        <w:pStyle w:val="3-NormalYaz0"/>
        <w:spacing w:line="240" w:lineRule="exact"/>
        <w:rPr>
          <w:rFonts w:hAnsi="Times New Roman"/>
          <w:b/>
          <w:sz w:val="18"/>
          <w:szCs w:val="18"/>
        </w:rPr>
      </w:pPr>
      <w:hyperlink r:id="rId5" w:history="1">
        <w:r>
          <w:rPr>
            <w:rStyle w:val="Kpr"/>
            <w:rFonts w:hAnsi="Times New Roman"/>
            <w:b/>
            <w:sz w:val="18"/>
            <w:szCs w:val="18"/>
          </w:rPr>
          <w:t>Ekleri için tıklayınız.</w:t>
        </w:r>
      </w:hyperlink>
    </w:p>
    <w:p w:rsidR="0031586A" w:rsidRDefault="0031586A" w:rsidP="006D37B4">
      <w:pPr>
        <w:tabs>
          <w:tab w:val="left" w:pos="1134"/>
        </w:tabs>
        <w:spacing w:line="240" w:lineRule="exact"/>
        <w:ind w:firstLine="567"/>
        <w:jc w:val="both"/>
        <w:rPr>
          <w:rFonts w:ascii="Times New Roman" w:hAnsi="Times New Roman" w:cs="Times New Roman"/>
          <w:bCs/>
          <w:sz w:val="20"/>
          <w:szCs w:val="20"/>
          <w:u w:val="single"/>
        </w:rPr>
      </w:pPr>
    </w:p>
    <w:sectPr w:rsidR="0031586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659CB"/>
    <w:rsid w:val="00266B2E"/>
    <w:rsid w:val="002A2741"/>
    <w:rsid w:val="002A4077"/>
    <w:rsid w:val="002C02C0"/>
    <w:rsid w:val="002C1E2B"/>
    <w:rsid w:val="002C33C3"/>
    <w:rsid w:val="002C4909"/>
    <w:rsid w:val="002C4FB7"/>
    <w:rsid w:val="002F1C9B"/>
    <w:rsid w:val="002F642E"/>
    <w:rsid w:val="0031586A"/>
    <w:rsid w:val="0032170A"/>
    <w:rsid w:val="003328CF"/>
    <w:rsid w:val="0033320B"/>
    <w:rsid w:val="0036378D"/>
    <w:rsid w:val="003C0A3F"/>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353AB"/>
    <w:rsid w:val="005436B7"/>
    <w:rsid w:val="005552F4"/>
    <w:rsid w:val="005664C6"/>
    <w:rsid w:val="005802D5"/>
    <w:rsid w:val="005A4BB3"/>
    <w:rsid w:val="005D0A80"/>
    <w:rsid w:val="005E0A94"/>
    <w:rsid w:val="00605984"/>
    <w:rsid w:val="00607225"/>
    <w:rsid w:val="00607B61"/>
    <w:rsid w:val="006146B8"/>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B03F2"/>
    <w:rsid w:val="009036DC"/>
    <w:rsid w:val="0090404D"/>
    <w:rsid w:val="009117F9"/>
    <w:rsid w:val="00913FD7"/>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916CE"/>
    <w:rsid w:val="00AA3186"/>
    <w:rsid w:val="00AC1AC1"/>
    <w:rsid w:val="00AF4D65"/>
    <w:rsid w:val="00B04D3D"/>
    <w:rsid w:val="00B24519"/>
    <w:rsid w:val="00B256B2"/>
    <w:rsid w:val="00B27B5E"/>
    <w:rsid w:val="00B3466F"/>
    <w:rsid w:val="00B605BA"/>
    <w:rsid w:val="00B76FED"/>
    <w:rsid w:val="00B879FA"/>
    <w:rsid w:val="00B93706"/>
    <w:rsid w:val="00B96180"/>
    <w:rsid w:val="00C33576"/>
    <w:rsid w:val="00C33970"/>
    <w:rsid w:val="00C376C1"/>
    <w:rsid w:val="00C420A0"/>
    <w:rsid w:val="00C53D56"/>
    <w:rsid w:val="00C579DE"/>
    <w:rsid w:val="00C66D23"/>
    <w:rsid w:val="00C75CA9"/>
    <w:rsid w:val="00C82AD1"/>
    <w:rsid w:val="00CA0C61"/>
    <w:rsid w:val="00CA44B6"/>
    <w:rsid w:val="00CC04AD"/>
    <w:rsid w:val="00CC18A0"/>
    <w:rsid w:val="00CC5605"/>
    <w:rsid w:val="00CE3FAA"/>
    <w:rsid w:val="00CE551E"/>
    <w:rsid w:val="00D31428"/>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2/20120217-4-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1746</Words>
  <Characters>9953</Characters>
  <Application>Microsoft Office Word</Application>
  <DocSecurity>0</DocSecurity>
  <Lines>82</Lines>
  <Paragraphs>23</Paragraphs>
  <ScaleCrop>false</ScaleCrop>
  <Company>TURMOB</Company>
  <LinksUpToDate>false</LinksUpToDate>
  <CharactersWithSpaces>11676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198</cp:revision>
  <dcterms:created xsi:type="dcterms:W3CDTF">2011-12-01T06:40:00Z</dcterms:created>
  <dcterms:modified xsi:type="dcterms:W3CDTF">2012-02-17T06:55:00Z</dcterms:modified>
</cp:coreProperties>
</file>