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D63A6A" w:rsidP="005E1582">
      <w:pPr>
        <w:rPr>
          <w:b/>
          <w:szCs w:val="20"/>
          <w:u w:val="single"/>
        </w:rPr>
      </w:pPr>
      <w:r>
        <w:rPr>
          <w:b/>
          <w:szCs w:val="20"/>
          <w:u w:val="single"/>
        </w:rPr>
        <w:t>03</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proofErr w:type="gramStart"/>
      <w:r>
        <w:rPr>
          <w:b/>
          <w:szCs w:val="20"/>
          <w:u w:val="single"/>
        </w:rPr>
        <w:t>Sayı : 28222</w:t>
      </w:r>
      <w:proofErr w:type="gramEnd"/>
    </w:p>
    <w:p w:rsidR="00D63A6A" w:rsidRDefault="00D63A6A" w:rsidP="00D63A6A">
      <w:pPr>
        <w:tabs>
          <w:tab w:val="left" w:pos="566"/>
        </w:tabs>
        <w:spacing w:after="0" w:line="240" w:lineRule="exact"/>
        <w:ind w:firstLine="566"/>
        <w:rPr>
          <w:rFonts w:ascii="Times New Roman" w:eastAsia="ヒラギノ明朝 Pro W3" w:hAnsi="Times New Roman" w:cs="Times New Roman"/>
          <w:sz w:val="18"/>
          <w:szCs w:val="18"/>
          <w:u w:val="single"/>
        </w:rPr>
      </w:pPr>
      <w:r w:rsidRPr="00D63A6A">
        <w:rPr>
          <w:rFonts w:ascii="Times New Roman" w:eastAsia="ヒラギノ明朝 Pro W3" w:hAnsi="Times New Roman" w:cs="Times New Roman"/>
          <w:sz w:val="18"/>
          <w:szCs w:val="18"/>
          <w:u w:val="single"/>
        </w:rPr>
        <w:t>Türkiye Cumhuriyet Merkez Bankasından:</w:t>
      </w:r>
    </w:p>
    <w:p w:rsidR="00D63A6A" w:rsidRPr="00D63A6A" w:rsidRDefault="00D63A6A" w:rsidP="00D63A6A">
      <w:pPr>
        <w:tabs>
          <w:tab w:val="left" w:pos="566"/>
        </w:tabs>
        <w:spacing w:after="0" w:line="240" w:lineRule="exact"/>
        <w:ind w:firstLine="566"/>
        <w:rPr>
          <w:rFonts w:ascii="Times New Roman" w:eastAsia="ヒラギノ明朝 Pro W3" w:hAnsi="Times New Roman" w:cs="Times New Roman"/>
          <w:sz w:val="18"/>
          <w:szCs w:val="18"/>
          <w:u w:val="single"/>
        </w:rPr>
      </w:pPr>
    </w:p>
    <w:p w:rsidR="00D63A6A" w:rsidRPr="00D63A6A" w:rsidRDefault="00D63A6A" w:rsidP="00D63A6A">
      <w:pPr>
        <w:spacing w:after="0" w:line="240" w:lineRule="exact"/>
        <w:jc w:val="center"/>
        <w:rPr>
          <w:rFonts w:ascii="Times New Roman" w:eastAsia="ヒラギノ明朝 Pro W3" w:hAnsi="Times New Roman" w:cs="Times New Roman"/>
          <w:b/>
          <w:sz w:val="18"/>
          <w:szCs w:val="18"/>
        </w:rPr>
      </w:pPr>
      <w:r w:rsidRPr="00D63A6A">
        <w:rPr>
          <w:rFonts w:ascii="Times New Roman" w:eastAsia="ヒラギノ明朝 Pro W3" w:hAnsi="Times New Roman" w:cs="Times New Roman"/>
          <w:b/>
          <w:sz w:val="18"/>
          <w:szCs w:val="18"/>
        </w:rPr>
        <w:t>ÇEK DEFTERLERİNİN BASKI ŞEKLİNE, BANKALARIN HAMİLE ÖDEMEKLE YÜKÜMLÜ</w:t>
      </w:r>
    </w:p>
    <w:p w:rsidR="00D63A6A" w:rsidRPr="00D63A6A" w:rsidRDefault="00D63A6A" w:rsidP="00D63A6A">
      <w:pPr>
        <w:spacing w:after="0" w:line="240" w:lineRule="exact"/>
        <w:jc w:val="center"/>
        <w:rPr>
          <w:rFonts w:ascii="Times New Roman" w:eastAsia="ヒラギノ明朝 Pro W3" w:hAnsi="Times New Roman" w:cs="Times New Roman"/>
          <w:b/>
          <w:sz w:val="18"/>
          <w:szCs w:val="18"/>
        </w:rPr>
      </w:pPr>
      <w:r w:rsidRPr="00D63A6A">
        <w:rPr>
          <w:rFonts w:ascii="Times New Roman" w:eastAsia="ヒラギノ明朝 Pro W3" w:hAnsi="Times New Roman" w:cs="Times New Roman"/>
          <w:b/>
          <w:sz w:val="18"/>
          <w:szCs w:val="18"/>
        </w:rPr>
        <w:t>OLDUĞU MİKTAR İLE ÇEK DÜZENLEME VE ÇEK HESABI AÇMA YASAĞI</w:t>
      </w:r>
    </w:p>
    <w:p w:rsidR="00D63A6A" w:rsidRPr="00D63A6A" w:rsidRDefault="00D63A6A" w:rsidP="00D63A6A">
      <w:pPr>
        <w:spacing w:after="0" w:line="240" w:lineRule="exact"/>
        <w:jc w:val="center"/>
        <w:rPr>
          <w:rFonts w:ascii="Times New Roman" w:eastAsia="ヒラギノ明朝 Pro W3" w:hAnsi="Times New Roman" w:cs="Times New Roman"/>
          <w:b/>
          <w:sz w:val="18"/>
          <w:szCs w:val="18"/>
        </w:rPr>
      </w:pPr>
      <w:r w:rsidRPr="00D63A6A">
        <w:rPr>
          <w:rFonts w:ascii="Times New Roman" w:eastAsia="ヒラギノ明朝 Pro W3" w:hAnsi="Times New Roman" w:cs="Times New Roman"/>
          <w:b/>
          <w:sz w:val="18"/>
          <w:szCs w:val="18"/>
        </w:rPr>
        <w:t>KARARLARININ BİLDİRİLMESİNE VE DUYURULMASINA İLİŞKİN</w:t>
      </w:r>
    </w:p>
    <w:p w:rsidR="00D63A6A" w:rsidRPr="00D63A6A" w:rsidRDefault="00D63A6A" w:rsidP="00D63A6A">
      <w:pPr>
        <w:spacing w:after="0" w:line="240" w:lineRule="exact"/>
        <w:jc w:val="center"/>
        <w:rPr>
          <w:rFonts w:ascii="Times New Roman" w:eastAsia="ヒラギノ明朝 Pro W3" w:hAnsi="Times New Roman" w:cs="Times New Roman"/>
          <w:b/>
          <w:sz w:val="18"/>
          <w:szCs w:val="18"/>
        </w:rPr>
      </w:pPr>
      <w:r w:rsidRPr="00D63A6A">
        <w:rPr>
          <w:rFonts w:ascii="Times New Roman" w:eastAsia="ヒラギノ明朝 Pro W3" w:hAnsi="Times New Roman" w:cs="Times New Roman"/>
          <w:b/>
          <w:sz w:val="18"/>
          <w:szCs w:val="18"/>
        </w:rPr>
        <w:t>TEBLİĞ (SAYI: 2010/2)’DE DEĞİŞİKLİK</w:t>
      </w:r>
    </w:p>
    <w:p w:rsidR="00D63A6A" w:rsidRPr="00D63A6A" w:rsidRDefault="00D63A6A" w:rsidP="00D63A6A">
      <w:pPr>
        <w:spacing w:after="0" w:line="240" w:lineRule="exact"/>
        <w:jc w:val="center"/>
        <w:rPr>
          <w:rFonts w:ascii="Times New Roman" w:eastAsia="ヒラギノ明朝 Pro W3" w:hAnsi="Times New Roman" w:cs="Times New Roman"/>
          <w:b/>
          <w:sz w:val="18"/>
          <w:szCs w:val="18"/>
        </w:rPr>
      </w:pPr>
      <w:r w:rsidRPr="00D63A6A">
        <w:rPr>
          <w:rFonts w:ascii="Times New Roman" w:eastAsia="ヒラギノ明朝 Pro W3" w:hAnsi="Times New Roman" w:cs="Times New Roman"/>
          <w:b/>
          <w:sz w:val="18"/>
          <w:szCs w:val="18"/>
        </w:rPr>
        <w:t>YAPILMASINA DAİR TEBLİĞ</w:t>
      </w:r>
    </w:p>
    <w:p w:rsidR="00D63A6A" w:rsidRPr="00D63A6A" w:rsidRDefault="00D63A6A" w:rsidP="00D63A6A">
      <w:pPr>
        <w:spacing w:after="0" w:line="240" w:lineRule="exact"/>
        <w:jc w:val="center"/>
        <w:rPr>
          <w:rFonts w:ascii="Times New Roman" w:eastAsia="ヒラギノ明朝 Pro W3" w:hAnsi="Times New Roman" w:cs="Times New Roman"/>
          <w:b/>
          <w:sz w:val="18"/>
          <w:szCs w:val="18"/>
        </w:rPr>
      </w:pPr>
      <w:r w:rsidRPr="00D63A6A">
        <w:rPr>
          <w:rFonts w:ascii="Times New Roman" w:eastAsia="ヒラギノ明朝 Pro W3" w:hAnsi="Times New Roman" w:cs="Times New Roman"/>
          <w:b/>
          <w:sz w:val="18"/>
          <w:szCs w:val="18"/>
        </w:rPr>
        <w:t>(SAYI: 2012/2)</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b/>
          <w:sz w:val="18"/>
          <w:szCs w:val="18"/>
        </w:rPr>
        <w:t>MADDE 1 –</w:t>
      </w:r>
      <w:r w:rsidRPr="00D63A6A">
        <w:rPr>
          <w:rFonts w:ascii="Times New Roman" w:eastAsia="ヒラギノ明朝 Pro W3" w:hAnsi="Times New Roman" w:cs="Times New Roman"/>
          <w:sz w:val="18"/>
          <w:szCs w:val="18"/>
        </w:rPr>
        <w:t xml:space="preserve"> </w:t>
      </w:r>
      <w:proofErr w:type="gramStart"/>
      <w:r w:rsidRPr="00D63A6A">
        <w:rPr>
          <w:rFonts w:ascii="Times New Roman" w:eastAsia="ヒラギノ明朝 Pro W3" w:hAnsi="Times New Roman" w:cs="Times New Roman"/>
          <w:sz w:val="18"/>
          <w:szCs w:val="18"/>
        </w:rPr>
        <w:t>20/1/2010</w:t>
      </w:r>
      <w:proofErr w:type="gramEnd"/>
      <w:r w:rsidRPr="00D63A6A">
        <w:rPr>
          <w:rFonts w:ascii="Times New Roman" w:eastAsia="ヒラギノ明朝 Pro W3" w:hAnsi="Times New Roman" w:cs="Times New Roman"/>
          <w:sz w:val="18"/>
          <w:szCs w:val="18"/>
        </w:rPr>
        <w:t xml:space="preserve"> tarihli ve 27468 sayılı Resmî Gazete’de yayımlanan Çek Defterlerinin Baskı Şekline, Bankaların Hamile Ödemekle Yükümlü Olduğu Miktar ile Çek Düzenleme ve Çek Hesabı Açma Yasağı Kararlarının Bildirilmesine ve Duyurulmasına İlişkin Tebliğ (Sayı: 2010/2)’in 2 </w:t>
      </w:r>
      <w:proofErr w:type="spellStart"/>
      <w:r w:rsidRPr="00D63A6A">
        <w:rPr>
          <w:rFonts w:ascii="Times New Roman" w:eastAsia="ヒラギノ明朝 Pro W3" w:hAnsi="Times New Roman" w:cs="Times New Roman"/>
          <w:sz w:val="18"/>
          <w:szCs w:val="18"/>
        </w:rPr>
        <w:t>nci</w:t>
      </w:r>
      <w:proofErr w:type="spellEnd"/>
      <w:r w:rsidRPr="00D63A6A">
        <w:rPr>
          <w:rFonts w:ascii="Times New Roman" w:eastAsia="ヒラギノ明朝 Pro W3" w:hAnsi="Times New Roman" w:cs="Times New Roman"/>
          <w:sz w:val="18"/>
          <w:szCs w:val="18"/>
        </w:rPr>
        <w:t xml:space="preserve"> maddesinin birinci fıkrası aşağıdaki şekilde değiştirilmiştir.</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 xml:space="preserve">“(1) Bu Tebliğ, 6273 sayılı Kanunla değişik </w:t>
      </w:r>
      <w:proofErr w:type="gramStart"/>
      <w:r w:rsidRPr="00D63A6A">
        <w:rPr>
          <w:rFonts w:ascii="Times New Roman" w:eastAsia="ヒラギノ明朝 Pro W3" w:hAnsi="Times New Roman" w:cs="Times New Roman"/>
          <w:sz w:val="18"/>
          <w:szCs w:val="18"/>
        </w:rPr>
        <w:t>14/12/2009</w:t>
      </w:r>
      <w:proofErr w:type="gramEnd"/>
      <w:r w:rsidRPr="00D63A6A">
        <w:rPr>
          <w:rFonts w:ascii="Times New Roman" w:eastAsia="ヒラギノ明朝 Pro W3" w:hAnsi="Times New Roman" w:cs="Times New Roman"/>
          <w:sz w:val="18"/>
          <w:szCs w:val="18"/>
        </w:rPr>
        <w:t xml:space="preserve"> tarihli ve 5941 sayılı Çek Kanununun 2, 3, 5, 6, geçici 1 ve geçici 3 üncü maddelerine dayanılarak hazırlanmıştır.”</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b/>
          <w:sz w:val="18"/>
          <w:szCs w:val="18"/>
        </w:rPr>
        <w:t>MADDE 2 –</w:t>
      </w:r>
      <w:r w:rsidRPr="00D63A6A">
        <w:rPr>
          <w:rFonts w:ascii="Times New Roman" w:eastAsia="ヒラギノ明朝 Pro W3" w:hAnsi="Times New Roman" w:cs="Times New Roman"/>
          <w:sz w:val="18"/>
          <w:szCs w:val="18"/>
        </w:rPr>
        <w:t xml:space="preserve"> Aynı Tebliğin 3 üncü maddesinin birinci fıkrasının (c) bendi aşağıdaki şekilde değiştirilmiş ve aynı maddeye aşağıdaki (ç) bendi eklenmiştir.</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 xml:space="preserve">“c) Çek defterlerinin her yaprağına, çek numarası, çekin basıldığı tarih, çek hesap numarası, çek hesabının bulunduğu banka şubesinin adı, çek hesabı sahibi gerçek kişinin adı ve soyadı, çek hesabı sahibi tüzel kişinin adı, çek hesabı sahibi gerçek veya tüzel kişinin Vergi Kimlik Numarası ile tüzel kişi adına çek düzenleyen kişinin adı ve soyadının yazılmasına ve imzaya </w:t>
      </w:r>
      <w:proofErr w:type="gramStart"/>
      <w:r w:rsidRPr="00D63A6A">
        <w:rPr>
          <w:rFonts w:ascii="Times New Roman" w:eastAsia="ヒラギノ明朝 Pro W3" w:hAnsi="Times New Roman" w:cs="Times New Roman"/>
          <w:sz w:val="18"/>
          <w:szCs w:val="18"/>
        </w:rPr>
        <w:t>imkan</w:t>
      </w:r>
      <w:proofErr w:type="gramEnd"/>
      <w:r w:rsidRPr="00D63A6A">
        <w:rPr>
          <w:rFonts w:ascii="Times New Roman" w:eastAsia="ヒラギノ明朝 Pro W3" w:hAnsi="Times New Roman" w:cs="Times New Roman"/>
          <w:sz w:val="18"/>
          <w:szCs w:val="18"/>
        </w:rPr>
        <w:t xml:space="preserve"> verecek ibareler konulur.</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ç) Çek yaprağında çekin basıldığı tarih, ay ibaresi yazıyla olacak biçimde gün, ay, yıl şeklinde yer alır.”</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b/>
          <w:sz w:val="18"/>
          <w:szCs w:val="18"/>
        </w:rPr>
        <w:t>MADDE 3 –</w:t>
      </w:r>
      <w:r w:rsidRPr="00D63A6A">
        <w:rPr>
          <w:rFonts w:ascii="Times New Roman" w:eastAsia="ヒラギノ明朝 Pro W3" w:hAnsi="Times New Roman" w:cs="Times New Roman"/>
          <w:sz w:val="18"/>
          <w:szCs w:val="18"/>
        </w:rPr>
        <w:t xml:space="preserve"> Aynı Tebliğin 5 inci maddesinin birinci ve ikinci fıkraları aşağıdaki şekilde değiştirilmiştir.</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63A6A">
        <w:rPr>
          <w:rFonts w:ascii="Times New Roman" w:eastAsia="ヒラギノ明朝 Pro W3" w:hAnsi="Times New Roman" w:cs="Times New Roman"/>
          <w:sz w:val="18"/>
          <w:szCs w:val="18"/>
        </w:rPr>
        <w:t xml:space="preserve">“(1) Çek Kanununun 5 ve 6 </w:t>
      </w:r>
      <w:proofErr w:type="spellStart"/>
      <w:r w:rsidRPr="00D63A6A">
        <w:rPr>
          <w:rFonts w:ascii="Times New Roman" w:eastAsia="ヒラギノ明朝 Pro W3" w:hAnsi="Times New Roman" w:cs="Times New Roman"/>
          <w:sz w:val="18"/>
          <w:szCs w:val="18"/>
        </w:rPr>
        <w:t>ncı</w:t>
      </w:r>
      <w:proofErr w:type="spellEnd"/>
      <w:r w:rsidRPr="00D63A6A">
        <w:rPr>
          <w:rFonts w:ascii="Times New Roman" w:eastAsia="ヒラギノ明朝 Pro W3" w:hAnsi="Times New Roman" w:cs="Times New Roman"/>
          <w:sz w:val="18"/>
          <w:szCs w:val="18"/>
        </w:rPr>
        <w:t xml:space="preserve"> maddeleri kapsamında verilen çek düzenleme ve çek hesabı açma yasağı ile bu yasağın kaldırılmasına ilişkin kararlara ait bilgiler, güvenli elektronik imza ile imzalandıktan sonra Adalet Bakanlığı Ulusal Yargı Ağı Bilişim Sistemi (UYAP) aracılığıyla Türkiye Cumhuriyet Merkez Bankası İdare Merkezi’ne elektronik ortamda bir hafta içinde bildirilir.</w:t>
      </w:r>
      <w:proofErr w:type="gramEnd"/>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(2) Birinci fıkrada yer alan kararlara ilişkin bildirimlerde;</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a) Kararın türü (çek düzenleme ve çek hesabı açma yasağı kararı/çek düzenleme ve çek hesabı açma yasağının kaldırılması kararı),</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b) Yargı merciinin adı,</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c) Karar tarihi,</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ç) Karar numarası,</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d) Kararın kesinleşme tarihi,</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e) Kararın esas tarihi ve numarası,</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f) Dosya Türü (3-Mahkeme Esas, 4-Mahkeme Değişik İş, 16-Savcılık Soruşturma, 109-Savcılık Kabahat dosyalarını tanımlayan kodlar bulunmaktadır.)</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g) Yasaklılık süresi,</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ğ) Çek yasaklısı;</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 Gerçek kişi ise Türkiye Cumhuriyeti Kimlik Numarası, adı ve soyadı, baba adı, anne adı, doğum yeri, doğum tarihi, nüfusa kayıtlı olduğu il/ilçe/mah./köy bilgileri,</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sz w:val="18"/>
          <w:szCs w:val="18"/>
        </w:rPr>
        <w:t>- Tüzel kişi ise Vergi Kimlik Numarası ve unvanı,</w:t>
      </w:r>
    </w:p>
    <w:p w:rsidR="00D63A6A" w:rsidRPr="00D63A6A" w:rsidRDefault="00D63A6A" w:rsidP="00D63A6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63A6A">
        <w:rPr>
          <w:rFonts w:ascii="Times New Roman" w:eastAsia="ヒラギノ明朝 Pro W3" w:hAnsi="Times New Roman" w:cs="Times New Roman"/>
          <w:sz w:val="18"/>
          <w:szCs w:val="18"/>
        </w:rPr>
        <w:t>yer</w:t>
      </w:r>
      <w:proofErr w:type="gramEnd"/>
      <w:r w:rsidRPr="00D63A6A">
        <w:rPr>
          <w:rFonts w:ascii="Times New Roman" w:eastAsia="ヒラギノ明朝 Pro W3" w:hAnsi="Times New Roman" w:cs="Times New Roman"/>
          <w:sz w:val="18"/>
          <w:szCs w:val="18"/>
        </w:rPr>
        <w:t xml:space="preserve"> alır.”</w:t>
      </w:r>
    </w:p>
    <w:p w:rsidR="00D63A6A" w:rsidRPr="00D63A6A" w:rsidRDefault="00D63A6A" w:rsidP="00D63A6A">
      <w:pPr>
        <w:tabs>
          <w:tab w:val="left" w:pos="566"/>
        </w:tabs>
        <w:spacing w:after="0" w:line="240" w:lineRule="exact"/>
        <w:ind w:firstLine="567"/>
        <w:jc w:val="both"/>
        <w:rPr>
          <w:rFonts w:ascii="Times New Roman" w:eastAsia="ヒラギノ明朝 Pro W3" w:hAnsi="Times New Roman" w:cs="Times New Roman"/>
          <w:sz w:val="18"/>
          <w:szCs w:val="18"/>
        </w:rPr>
      </w:pPr>
      <w:r w:rsidRPr="00D63A6A">
        <w:rPr>
          <w:rFonts w:ascii="Times New Roman" w:eastAsia="ヒラギノ明朝 Pro W3" w:hAnsi="Times New Roman" w:cs="Times New Roman"/>
          <w:b/>
          <w:sz w:val="18"/>
          <w:szCs w:val="18"/>
        </w:rPr>
        <w:t>MADDE 4 –</w:t>
      </w:r>
      <w:r w:rsidRPr="00D63A6A">
        <w:rPr>
          <w:rFonts w:ascii="Times New Roman" w:eastAsia="ヒラギノ明朝 Pro W3" w:hAnsi="Times New Roman" w:cs="Times New Roman"/>
          <w:sz w:val="18"/>
          <w:szCs w:val="18"/>
        </w:rPr>
        <w:t xml:space="preserve"> Bu Tebliğ yayımı tarihinde yürürlüğe girer.</w:t>
      </w:r>
    </w:p>
    <w:p w:rsidR="00D63A6A" w:rsidRPr="00D63A6A" w:rsidRDefault="00D63A6A" w:rsidP="00D63A6A">
      <w:pPr>
        <w:spacing w:after="0" w:line="240" w:lineRule="exact"/>
        <w:ind w:firstLine="567"/>
        <w:jc w:val="both"/>
        <w:rPr>
          <w:rFonts w:ascii="Times New Roman" w:eastAsia="Times New Roman" w:hAnsi="Times New Roman" w:cs="Times New Roman"/>
          <w:b/>
          <w:sz w:val="18"/>
          <w:szCs w:val="18"/>
          <w:lang w:val="en-GB" w:eastAsia="tr-TR"/>
        </w:rPr>
      </w:pPr>
      <w:r w:rsidRPr="00D63A6A">
        <w:rPr>
          <w:rFonts w:ascii="Times New Roman" w:eastAsia="Times New Roman" w:hAnsi="Times New Roman" w:cs="Times New Roman"/>
          <w:b/>
          <w:sz w:val="18"/>
          <w:szCs w:val="18"/>
          <w:lang w:eastAsia="tr-TR"/>
        </w:rPr>
        <w:t>MADDE 5 –</w:t>
      </w:r>
      <w:r w:rsidRPr="00D63A6A">
        <w:rPr>
          <w:rFonts w:ascii="Times New Roman" w:eastAsia="Times New Roman" w:hAnsi="Times New Roman" w:cs="Times New Roman"/>
          <w:sz w:val="18"/>
          <w:szCs w:val="18"/>
          <w:lang w:eastAsia="tr-TR"/>
        </w:rPr>
        <w:t xml:space="preserve"> Bu Tebliğ hükümlerini Türkiye Cumhuriyet Merkez Bankası Başkanı yürütür.</w:t>
      </w:r>
    </w:p>
    <w:p w:rsidR="00D63A6A" w:rsidRDefault="00D63A6A" w:rsidP="005E1582">
      <w:pPr>
        <w:rPr>
          <w:b/>
          <w:szCs w:val="20"/>
          <w:u w:val="single"/>
        </w:rPr>
      </w:pPr>
    </w:p>
    <w:sectPr w:rsidR="00D63A6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9036DC"/>
    <w:rsid w:val="0090404D"/>
    <w:rsid w:val="009105F6"/>
    <w:rsid w:val="009117F9"/>
    <w:rsid w:val="00912C94"/>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24A"/>
    <w:rsid w:val="00A81CDA"/>
    <w:rsid w:val="00A916CE"/>
    <w:rsid w:val="00AA3186"/>
    <w:rsid w:val="00AC1AC1"/>
    <w:rsid w:val="00AE5B2B"/>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C04AD"/>
    <w:rsid w:val="00CC18A0"/>
    <w:rsid w:val="00CC5605"/>
    <w:rsid w:val="00CE3FAA"/>
    <w:rsid w:val="00CE551E"/>
    <w:rsid w:val="00CE74E0"/>
    <w:rsid w:val="00D31428"/>
    <w:rsid w:val="00D63A6A"/>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428</Words>
  <Characters>2443</Characters>
  <Application>Microsoft Office Word</Application>
  <DocSecurity>0</DocSecurity>
  <Lines>20</Lines>
  <Paragraphs>5</Paragraphs>
  <ScaleCrop>false</ScaleCrop>
  <Company>TURMOB</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227</cp:revision>
  <dcterms:created xsi:type="dcterms:W3CDTF">2011-12-01T06:40:00Z</dcterms:created>
  <dcterms:modified xsi:type="dcterms:W3CDTF">2012-03-05T06:25:00Z</dcterms:modified>
</cp:coreProperties>
</file>