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327581" w:rsidP="005E1582">
      <w:pPr>
        <w:rPr>
          <w:b/>
          <w:szCs w:val="20"/>
          <w:u w:val="single"/>
        </w:rPr>
      </w:pPr>
      <w:r>
        <w:rPr>
          <w:b/>
          <w:szCs w:val="20"/>
          <w:u w:val="single"/>
        </w:rPr>
        <w:t>0</w:t>
      </w:r>
      <w:r w:rsidR="006F7793">
        <w:rPr>
          <w:b/>
          <w:szCs w:val="20"/>
          <w:u w:val="single"/>
        </w:rPr>
        <w:t>8</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proofErr w:type="gramStart"/>
      <w:r w:rsidR="006F7793">
        <w:rPr>
          <w:b/>
          <w:szCs w:val="20"/>
          <w:u w:val="single"/>
        </w:rPr>
        <w:t>Sayı : 28227</w:t>
      </w:r>
      <w:proofErr w:type="gramEnd"/>
    </w:p>
    <w:p w:rsidR="00F96298" w:rsidRDefault="00F96298" w:rsidP="00F96298">
      <w:pPr>
        <w:pStyle w:val="2-OrtaBaslk"/>
        <w:spacing w:line="240" w:lineRule="exact"/>
        <w:rPr>
          <w:rFonts w:hAnsi="Times New Roman"/>
          <w:sz w:val="18"/>
          <w:szCs w:val="18"/>
        </w:rPr>
      </w:pPr>
      <w:r>
        <w:rPr>
          <w:rFonts w:hAnsi="Times New Roman"/>
          <w:sz w:val="18"/>
          <w:szCs w:val="18"/>
        </w:rPr>
        <w:t>SOSYAL SİGORTALAR VE GENEL SAĞLIK SİGORTASI KANUNUNDA</w:t>
      </w:r>
    </w:p>
    <w:p w:rsidR="00F96298" w:rsidRDefault="00F96298" w:rsidP="00F96298">
      <w:pPr>
        <w:pStyle w:val="2-OrtaBaslk"/>
        <w:spacing w:line="240" w:lineRule="exact"/>
        <w:rPr>
          <w:rFonts w:hAnsi="Times New Roman"/>
          <w:sz w:val="18"/>
          <w:szCs w:val="18"/>
        </w:rPr>
      </w:pPr>
      <w:r>
        <w:rPr>
          <w:rFonts w:hAnsi="Times New Roman"/>
          <w:sz w:val="18"/>
          <w:szCs w:val="18"/>
        </w:rPr>
        <w:t>DEĞİŞİKLİK YAPILMASINA DAİR KANUN</w:t>
      </w:r>
    </w:p>
    <w:p w:rsidR="00F96298" w:rsidRDefault="00F96298" w:rsidP="00F96298">
      <w:pPr>
        <w:pStyle w:val="2-OrtaBaslk"/>
        <w:spacing w:line="240" w:lineRule="exact"/>
        <w:rPr>
          <w:rFonts w:hAnsi="Times New Roman"/>
          <w:sz w:val="18"/>
          <w:szCs w:val="18"/>
        </w:rPr>
      </w:pPr>
    </w:p>
    <w:p w:rsidR="00F96298" w:rsidRDefault="00F96298" w:rsidP="00F96298">
      <w:pPr>
        <w:pStyle w:val="3-NormalYaz0"/>
        <w:tabs>
          <w:tab w:val="right" w:pos="8391"/>
        </w:tabs>
        <w:spacing w:line="240" w:lineRule="exact"/>
        <w:ind w:firstLine="567"/>
        <w:rPr>
          <w:rFonts w:hAnsi="Times New Roman"/>
          <w:b/>
          <w:sz w:val="18"/>
          <w:szCs w:val="18"/>
          <w:u w:val="single"/>
        </w:rPr>
      </w:pPr>
      <w:r>
        <w:rPr>
          <w:rFonts w:hAnsi="Times New Roman"/>
          <w:b/>
          <w:sz w:val="18"/>
          <w:szCs w:val="18"/>
          <w:u w:val="single"/>
        </w:rPr>
        <w:t>Kanun No. 6283</w:t>
      </w:r>
      <w:r>
        <w:rPr>
          <w:rFonts w:hAnsi="Times New Roman"/>
          <w:b/>
          <w:sz w:val="18"/>
          <w:szCs w:val="18"/>
        </w:rPr>
        <w:tab/>
      </w:r>
      <w:r>
        <w:rPr>
          <w:rFonts w:hAnsi="Times New Roman"/>
          <w:b/>
          <w:sz w:val="18"/>
          <w:szCs w:val="18"/>
          <w:u w:val="single"/>
        </w:rPr>
        <w:t xml:space="preserve">Kabul Tarihi: </w:t>
      </w:r>
      <w:proofErr w:type="gramStart"/>
      <w:r>
        <w:rPr>
          <w:rFonts w:hAnsi="Times New Roman"/>
          <w:b/>
          <w:sz w:val="18"/>
          <w:szCs w:val="18"/>
          <w:u w:val="single"/>
        </w:rPr>
        <w:t>1/3/2012</w:t>
      </w:r>
      <w:proofErr w:type="gramEnd"/>
    </w:p>
    <w:p w:rsidR="00F96298" w:rsidRDefault="00F96298" w:rsidP="00F96298">
      <w:pPr>
        <w:pStyle w:val="3-NormalYaz0"/>
        <w:spacing w:line="240" w:lineRule="exact"/>
        <w:ind w:firstLine="566"/>
        <w:rPr>
          <w:rFonts w:hAnsi="Times New Roman"/>
          <w:sz w:val="18"/>
          <w:szCs w:val="18"/>
        </w:rPr>
      </w:pPr>
      <w:r>
        <w:rPr>
          <w:rFonts w:hAnsi="Times New Roman"/>
          <w:b/>
          <w:sz w:val="18"/>
          <w:szCs w:val="18"/>
        </w:rPr>
        <w:t xml:space="preserve">MADDE 1 – </w:t>
      </w:r>
      <w:proofErr w:type="gramStart"/>
      <w:r>
        <w:rPr>
          <w:rFonts w:hAnsi="Times New Roman"/>
          <w:sz w:val="18"/>
          <w:szCs w:val="18"/>
        </w:rPr>
        <w:t>31/5/2006</w:t>
      </w:r>
      <w:proofErr w:type="gramEnd"/>
      <w:r>
        <w:rPr>
          <w:rFonts w:hAnsi="Times New Roman"/>
          <w:sz w:val="18"/>
          <w:szCs w:val="18"/>
        </w:rPr>
        <w:t xml:space="preserve"> tarihli ve 5510 sayılı Sosyal Sigortalar ve Genel Sağlık Sigortası Kanununun 67 </w:t>
      </w:r>
      <w:proofErr w:type="spellStart"/>
      <w:r>
        <w:rPr>
          <w:rFonts w:hAnsi="Times New Roman"/>
          <w:sz w:val="18"/>
          <w:szCs w:val="18"/>
        </w:rPr>
        <w:t>nci</w:t>
      </w:r>
      <w:proofErr w:type="spellEnd"/>
      <w:r>
        <w:rPr>
          <w:rFonts w:hAnsi="Times New Roman"/>
          <w:sz w:val="18"/>
          <w:szCs w:val="18"/>
        </w:rPr>
        <w:t xml:space="preserve"> maddesinin üçüncü fıkrasında yer alan “nüfus cüzdanı” ibaresinden önce gelmek üzere “</w:t>
      </w:r>
      <w:proofErr w:type="spellStart"/>
      <w:r>
        <w:rPr>
          <w:rFonts w:hAnsi="Times New Roman"/>
          <w:sz w:val="18"/>
          <w:szCs w:val="18"/>
        </w:rPr>
        <w:t>biyometrik</w:t>
      </w:r>
      <w:proofErr w:type="spellEnd"/>
      <w:r>
        <w:rPr>
          <w:rFonts w:hAnsi="Times New Roman"/>
          <w:sz w:val="18"/>
          <w:szCs w:val="18"/>
        </w:rPr>
        <w:t xml:space="preserve"> yöntemlerle kimlik doğrulamasının yapılması ve/veya” ifadesi eklenmiştir.</w:t>
      </w:r>
    </w:p>
    <w:p w:rsidR="00F96298" w:rsidRDefault="00F96298" w:rsidP="00F96298">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5510 sayılı Kanunun 68 inci maddesinin ikinci fıkrasına ikinci cümleden sonra gelmek üzere aşağıdaki cümle eklenmiştir.</w:t>
      </w:r>
    </w:p>
    <w:p w:rsidR="00F96298" w:rsidRDefault="00F96298" w:rsidP="00F96298">
      <w:pPr>
        <w:pStyle w:val="3-NormalYaz0"/>
        <w:spacing w:line="240" w:lineRule="exact"/>
        <w:rPr>
          <w:rFonts w:hAnsi="Times New Roman"/>
          <w:sz w:val="18"/>
          <w:szCs w:val="18"/>
        </w:rPr>
      </w:pPr>
      <w:r>
        <w:rPr>
          <w:rFonts w:hAnsi="Times New Roman"/>
          <w:sz w:val="18"/>
          <w:szCs w:val="18"/>
        </w:rPr>
        <w:t>“Yukarıdaki (b) ve (c) bentleri kapsamına giren sağlık hizmetlerinden alınacak katılım payını % 1’e kadar indirmeye, Kurumun teklifi üzerine Çalışma ve Sosyal Güvenlik Bakanı yetkilidir.”</w:t>
      </w:r>
    </w:p>
    <w:p w:rsidR="00F96298" w:rsidRDefault="00F96298" w:rsidP="00F96298">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5510 sayılı Kanunun 102 </w:t>
      </w:r>
      <w:proofErr w:type="spellStart"/>
      <w:r>
        <w:rPr>
          <w:rFonts w:hAnsi="Times New Roman"/>
          <w:sz w:val="18"/>
          <w:szCs w:val="18"/>
        </w:rPr>
        <w:t>nci</w:t>
      </w:r>
      <w:proofErr w:type="spellEnd"/>
      <w:r>
        <w:rPr>
          <w:rFonts w:hAnsi="Times New Roman"/>
          <w:sz w:val="18"/>
          <w:szCs w:val="18"/>
        </w:rPr>
        <w:t xml:space="preserve"> maddesinin birinci fıkrasının (j) bendi aşağıdaki şekilde değiştirilmiştir.</w:t>
      </w:r>
    </w:p>
    <w:p w:rsidR="00F96298" w:rsidRDefault="00F96298" w:rsidP="00F96298">
      <w:pPr>
        <w:pStyle w:val="3-NormalYaz0"/>
        <w:spacing w:line="240" w:lineRule="exact"/>
        <w:ind w:firstLine="566"/>
        <w:rPr>
          <w:rFonts w:hAnsi="Times New Roman"/>
          <w:sz w:val="18"/>
          <w:szCs w:val="18"/>
        </w:rPr>
      </w:pPr>
      <w:proofErr w:type="gramStart"/>
      <w:r>
        <w:rPr>
          <w:rFonts w:hAnsi="Times New Roman"/>
          <w:sz w:val="18"/>
          <w:szCs w:val="18"/>
        </w:rPr>
        <w:t xml:space="preserve">“j) 9 uncu maddesinin birinci fıkrasının (a) bendine göre sigortalılığı sona erenlere ilişkin bildirim ile 506 sayılı Kanunun geçici 20 </w:t>
      </w:r>
      <w:proofErr w:type="spellStart"/>
      <w:r>
        <w:rPr>
          <w:rFonts w:hAnsi="Times New Roman"/>
          <w:sz w:val="18"/>
          <w:szCs w:val="18"/>
        </w:rPr>
        <w:t>nci</w:t>
      </w:r>
      <w:proofErr w:type="spellEnd"/>
      <w:r>
        <w:rPr>
          <w:rFonts w:hAnsi="Times New Roman"/>
          <w:sz w:val="18"/>
          <w:szCs w:val="18"/>
        </w:rPr>
        <w:t xml:space="preserve"> maddesinde yer alan sandıklara, sandık iştirakçiliğinin başlama veya sona ermesine ilişkin bildirimi, süresi içinde ya da Kurumca belirlenen şekle ve usule uygun olarak yapmayanlar veya Kurumca internet, elektronik veya benzeri ortamda göndermekle zorunlu tutulduğu halde anılan ortamda göndermeyenler hakkında, bir takvim ayında işlenen bu fiillerden dolayı tutmakla yükümlü bulunulan defter ve belgelerin ibraz edilmemesi nedeniyle verilmesi gereken ceza tutarını aşmamak kaydıyla her bir sigortalı veya sandık iştirakçisi için asgari ücretin onda biri tutarında idari para cezası uygulanır.”</w:t>
      </w:r>
      <w:proofErr w:type="gramEnd"/>
    </w:p>
    <w:p w:rsidR="00F96298" w:rsidRDefault="00F96298" w:rsidP="00F96298">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5510 sayılı Kanunun geçici 20 </w:t>
      </w:r>
      <w:proofErr w:type="spellStart"/>
      <w:r>
        <w:rPr>
          <w:rFonts w:hAnsi="Times New Roman"/>
          <w:sz w:val="18"/>
          <w:szCs w:val="18"/>
        </w:rPr>
        <w:t>nci</w:t>
      </w:r>
      <w:proofErr w:type="spellEnd"/>
      <w:r>
        <w:rPr>
          <w:rFonts w:hAnsi="Times New Roman"/>
          <w:sz w:val="18"/>
          <w:szCs w:val="18"/>
        </w:rPr>
        <w:t xml:space="preserve"> maddesinin birinci fıkrasının ikinci cümlesinde yer alan “iki yıl” ibaresi “dört yıl” şeklinde değiştirilmiştir.</w:t>
      </w:r>
    </w:p>
    <w:p w:rsidR="00F96298" w:rsidRDefault="00F96298" w:rsidP="00F96298">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5510 sayılı Kanuna aşağıdaki geçici madde eklenmiştir.</w:t>
      </w:r>
    </w:p>
    <w:p w:rsidR="00F96298" w:rsidRDefault="00F96298" w:rsidP="00F96298">
      <w:pPr>
        <w:pStyle w:val="3-NormalYaz0"/>
        <w:spacing w:line="240" w:lineRule="exact"/>
        <w:ind w:firstLine="566"/>
        <w:rPr>
          <w:rFonts w:hAnsi="Times New Roman"/>
          <w:sz w:val="18"/>
          <w:szCs w:val="18"/>
        </w:rPr>
      </w:pPr>
      <w:proofErr w:type="gramStart"/>
      <w:r>
        <w:rPr>
          <w:rFonts w:hAnsi="Times New Roman"/>
          <w:sz w:val="18"/>
          <w:szCs w:val="18"/>
        </w:rPr>
        <w:t>“GEÇİCİ MADDE 39 – (1) Son tahsis talep tarihi veya ölüm tarihi 2000 yılı Ocak ayı başından önce olup, 506 sayılı Kanunun mülga hükümleri uyarınca gösterge sistemine göre bağlanan malûllük, yaşlılık ve ölüm aylıkları ile bu tarihten önce malûllük veya yaşlılık aylığı almakta iken bu tarihten sonra ölen sigortalıların ölüm aylıkları, bu madde hükümlerine göre yeniden hesaplanır.</w:t>
      </w:r>
      <w:proofErr w:type="gramEnd"/>
    </w:p>
    <w:p w:rsidR="00F96298" w:rsidRDefault="00F96298" w:rsidP="00F96298">
      <w:pPr>
        <w:pStyle w:val="3-NormalYaz0"/>
        <w:spacing w:line="240" w:lineRule="exact"/>
        <w:ind w:firstLine="566"/>
        <w:rPr>
          <w:rFonts w:hAnsi="Times New Roman"/>
          <w:sz w:val="18"/>
          <w:szCs w:val="18"/>
        </w:rPr>
      </w:pPr>
      <w:r>
        <w:rPr>
          <w:rFonts w:hAnsi="Times New Roman"/>
          <w:sz w:val="18"/>
          <w:szCs w:val="18"/>
        </w:rPr>
        <w:t>(2) Aylıkların hesaplanmasında, 506 sayılı Kanunun mülga maddeleri uyarınca hazırlanan ve 1999 yılı Aralık ayında yürürlükte bulunan gösterge veya üst gösterge tablosundan sigortalı için tespit edilmiş olan mevcut gösterge rakamı ile aynı dönemde yürürlükte bulunan memur aylık katsayısı esas alınır.</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(3) Sigortalının aylık bağlama oranı aşağıdaki şekilde belirlenir:</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a) Malûllük aylığında; gösterge tablosundan aylık hesaplanmış olan için % 60, sigortalının başkasının bakımına muhtaç olması halinde % 70, üst gösterge tablosundan aylık hesaplanmış olan için ise 1999 yılı Aralık ayında yürürlükte bulunan ve gösterge rakamına göre % 59,9 ila % 50 arasında belirlenmiş olan taban aylık bağlama oranı esas alınır. Yaştan ve günden artırım ve eksiltme yapılmaz.</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 xml:space="preserve">b) Yaşlılık aylığında; gösterge tablosundan aylık hesaplanmış olan için % 60, üst gösterge tablosundan aylık hesaplanmış olan için ise 1999 yılı Aralık ayında yürürlükte bulunan ve gösterge rakamına göre % 59,9 ila % 50 arasında belirlenmiş olan taban aylık bağlama oranı esas alınır. </w:t>
      </w:r>
      <w:proofErr w:type="gramStart"/>
      <w:r>
        <w:rPr>
          <w:rFonts w:hAnsi="Times New Roman"/>
          <w:sz w:val="18"/>
          <w:szCs w:val="18"/>
        </w:rPr>
        <w:t xml:space="preserve">Bu şekilde belirlenen taban aylık bağlama oranı, sigortalının tahsis talep tarihi itibarıyla kadın ise 50, erkek ise 55 yaşından sonra doldurduğu her tam yaş için ve 5000 günden fazla ödediği her 240 günlük malûllük, yaşlılık ve ölüm sigortaları primi için (l)’er artırılır, 5000 günden noksan ödediği her 240 gün için (1)’er eksiltilir. </w:t>
      </w:r>
      <w:proofErr w:type="gramEnd"/>
      <w:r>
        <w:rPr>
          <w:rFonts w:hAnsi="Times New Roman"/>
          <w:sz w:val="18"/>
          <w:szCs w:val="18"/>
        </w:rPr>
        <w:t>Maden işyerlerinin yer altı işlerinde çalışması, sigortalı olarak ilk defa çalışmaya başladığı tarihten önce malûl olması, sakatlığı nedeniyle vergi indiriminden yararlanması veya erken yaşlanması nedeniyle tarafına yaşlılık aylığı bağlananlara günden dolayı eksiltme yapılmaz.</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c) Ölüm aylığında; gösterge tablosundan aylık hesaplanmış olan için % 60, üst gösterge tablosundan aylık hesaplanmış olan için ise 1999 yılı Aralık ayında yürürlükte bulunan ve gösterge rakamına göre % 59,9 ila % 50 arasında belirlenmiş olan taban aylık bağlama oranı esas alınır. Bu şekilde belirlenen taban aylık bağlama oranı sigortalının ölüm tarihi itibarıyla kadın ise 50, erkek ise 55 yaşından sonra doldurduğu her tam yaş için ve 5000 günden fazla ödediği her 240 günlük malûllük, yaşlılık ve ölüm sigortaları primi için (l)’er artırılır. Günden dolayı eksiltme yapılmaz. Malûllük aylığı almakta iken ölen sigortalılar hakkında bakıma muhtaçlık durumu dikkate alınmaksızın (a) bendi, yaşlılık aylığı almakta iken ölen sigortalılar hakkında ise (b) bendi hükümleri uygulanır.</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ç) Malûllük, yaşlılık ve ölüm aylığının aylık bağlama oranı % 85’ten fazla olamaz.</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(4) Sigortalının 1999 yılı Aralık ayı ödeme dönemi itibarıyla aylığı, yukarıdaki hükümlere göre tespit edilen gösterge rakamı, memur aylık katsayısı ve aylık bağlama oranının çarpımı suretiyle belirlenir.</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 xml:space="preserve">(5) Bu madde hükümlerine göre 1999 yılı Aralık ayı ödeme dönemi itibarıyla hesaplanan aylık tutarı, % 5,9 oranında artırılarak 2000 yılı Ocak ayına, 2000 yılı Ocak ayı için bu şekilde hesaplanan aylık tutarı ise, (7,13326594120697) çarpanı kullanılarak 2008 yılı Ocak ayına taşınır. Bu şekilde hesaplanan aylık tutarı da, 2008 yılı Ocak ayı ödeme döneminden </w:t>
      </w:r>
      <w:r>
        <w:rPr>
          <w:rFonts w:hAnsi="Times New Roman"/>
          <w:sz w:val="18"/>
          <w:szCs w:val="18"/>
        </w:rPr>
        <w:lastRenderedPageBreak/>
        <w:t xml:space="preserve">başlayarak 2013 yılı Ocak ayı ödeme dönemine kadar (bu dönem </w:t>
      </w:r>
      <w:proofErr w:type="gramStart"/>
      <w:r>
        <w:rPr>
          <w:rFonts w:hAnsi="Times New Roman"/>
          <w:sz w:val="18"/>
          <w:szCs w:val="18"/>
        </w:rPr>
        <w:t>dahil</w:t>
      </w:r>
      <w:proofErr w:type="gramEnd"/>
      <w:r>
        <w:rPr>
          <w:rFonts w:hAnsi="Times New Roman"/>
          <w:sz w:val="18"/>
          <w:szCs w:val="18"/>
        </w:rPr>
        <w:t>) 4 üncü maddenin birinci fıkrasının (a) bendi kapsamındaki sigortalılara ödenmekte olan aylıklara uygulanmış olan aylık artışları ile artırılır.</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(6) Bu maddeye göre hesaplanan aylık tutarının, sigortalı veya hak sahiplerine 2013 yılı Ocak ayı ödeme döneminde ödenmekte olan aylık tutarının altında kalması halinde, mevcut aylıkların ödenmesine devam edilir.</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(7) Bu maddeye göre hesaplanan aylıklar için geriye yönelik herhangi bir ödeme yapılmaz.</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 xml:space="preserve">(8) Sözleşme aylıklarını 2000 yılı Ocak ayı başından sonra borçlanma yapmak suretiyle tam aylığa yükseltenler ile geçici 20 </w:t>
      </w:r>
      <w:proofErr w:type="spellStart"/>
      <w:r>
        <w:rPr>
          <w:rFonts w:hAnsi="Times New Roman"/>
          <w:sz w:val="18"/>
          <w:szCs w:val="18"/>
        </w:rPr>
        <w:t>nci</w:t>
      </w:r>
      <w:proofErr w:type="spellEnd"/>
      <w:r>
        <w:rPr>
          <w:rFonts w:hAnsi="Times New Roman"/>
          <w:sz w:val="18"/>
          <w:szCs w:val="18"/>
        </w:rPr>
        <w:t xml:space="preserve"> maddeye göre devir alınacak sandıklardan aylık alanlara devir tarihinden sonra bu madde hükümleri uygulanmaz.</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(9) Bu maddenin uygulanmasına ilişkin tereddütleri gidermeye Kurum Yönetim Kurulu yetkilidir.”</w:t>
      </w:r>
    </w:p>
    <w:p w:rsidR="00F96298" w:rsidRDefault="00F96298" w:rsidP="00F96298">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5510 sayılı Kanuna aşağıdaki geçici madde eklenmiştir.</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 xml:space="preserve">“GEÇİCİ MADDE 40 – (1) 1479 sayılı Kanunun mülga geçici 17 </w:t>
      </w:r>
      <w:proofErr w:type="spellStart"/>
      <w:r>
        <w:rPr>
          <w:rFonts w:hAnsi="Times New Roman"/>
          <w:sz w:val="18"/>
          <w:szCs w:val="18"/>
        </w:rPr>
        <w:t>nci</w:t>
      </w:r>
      <w:proofErr w:type="spellEnd"/>
      <w:r>
        <w:rPr>
          <w:rFonts w:hAnsi="Times New Roman"/>
          <w:sz w:val="18"/>
          <w:szCs w:val="18"/>
        </w:rPr>
        <w:t xml:space="preserve"> maddesine göre </w:t>
      </w:r>
      <w:proofErr w:type="gramStart"/>
      <w:r>
        <w:rPr>
          <w:rFonts w:hAnsi="Times New Roman"/>
          <w:sz w:val="18"/>
          <w:szCs w:val="18"/>
        </w:rPr>
        <w:t>1/4/2002</w:t>
      </w:r>
      <w:proofErr w:type="gramEnd"/>
      <w:r>
        <w:rPr>
          <w:rFonts w:hAnsi="Times New Roman"/>
          <w:sz w:val="18"/>
          <w:szCs w:val="18"/>
        </w:rPr>
        <w:t xml:space="preserve"> ile 30/6/2002 tarihleri arasında kullanılmak üzere hazırlanan gelir basamakları esas alınarak hesaplanmış olan aylıklar bu madde hükümlerine göre yeniden hesaplanır.</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 xml:space="preserve">(2) Geçici 27 </w:t>
      </w:r>
      <w:proofErr w:type="spellStart"/>
      <w:r>
        <w:rPr>
          <w:rFonts w:hAnsi="Times New Roman"/>
          <w:sz w:val="18"/>
          <w:szCs w:val="18"/>
        </w:rPr>
        <w:t>nci</w:t>
      </w:r>
      <w:proofErr w:type="spellEnd"/>
      <w:r>
        <w:rPr>
          <w:rFonts w:hAnsi="Times New Roman"/>
          <w:sz w:val="18"/>
          <w:szCs w:val="18"/>
        </w:rPr>
        <w:t xml:space="preserve"> madde uyarınca </w:t>
      </w:r>
      <w:proofErr w:type="gramStart"/>
      <w:r>
        <w:rPr>
          <w:rFonts w:hAnsi="Times New Roman"/>
          <w:sz w:val="18"/>
          <w:szCs w:val="18"/>
        </w:rPr>
        <w:t>1/4/2002</w:t>
      </w:r>
      <w:proofErr w:type="gramEnd"/>
      <w:r>
        <w:rPr>
          <w:rFonts w:hAnsi="Times New Roman"/>
          <w:sz w:val="18"/>
          <w:szCs w:val="18"/>
        </w:rPr>
        <w:t xml:space="preserve"> ile 30/6/2002 tarihleri arasında kullanılmak üzere hazırlanan gelir basamakları esas alınarak 1479 sayılı Kanunun mülga geçici 11 inci maddesine göre 2002 yılı Nisan ayı ödeme dönemi itibarıyla hesaplanan aylık tutarı, aynı ödeme döneminde % 8,9 oranında artırıldıktan sonra 2002 yılı Mayıs ayı ödeme döneminden başlayarak 2013 yılı Ocak ayı ödeme dönemine kadar, 1479 sayılı Kanun kapsamında bağlanmış olan aylıklara söz konusu dönemlerde uygulanan artış oranları ile artırılır ve aylıklar 2013 yılı Ocak ayı ödeme döneminden itibaren yeni belirlenen tutar üzerinden ödenmeye devam olunur.</w:t>
      </w:r>
    </w:p>
    <w:p w:rsidR="00F96298" w:rsidRDefault="00F96298" w:rsidP="00F96298">
      <w:pPr>
        <w:pStyle w:val="3-NormalYaz0"/>
        <w:spacing w:line="240" w:lineRule="exact"/>
        <w:ind w:firstLine="566"/>
        <w:rPr>
          <w:rFonts w:hAnsi="Times New Roman"/>
          <w:sz w:val="18"/>
          <w:szCs w:val="18"/>
        </w:rPr>
      </w:pPr>
      <w:r>
        <w:rPr>
          <w:rFonts w:hAnsi="Times New Roman"/>
          <w:sz w:val="18"/>
          <w:szCs w:val="18"/>
        </w:rPr>
        <w:t>(3) Bu maddeye göre hesaplanan aylıklar için geriye yönelik herhangi bir ödeme yapılmaz.”</w:t>
      </w:r>
    </w:p>
    <w:p w:rsidR="00F96298" w:rsidRDefault="00F96298" w:rsidP="00F96298">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w:t>
      </w:r>
      <w:proofErr w:type="gramStart"/>
      <w:r>
        <w:rPr>
          <w:rFonts w:hAnsi="Times New Roman"/>
          <w:sz w:val="18"/>
          <w:szCs w:val="18"/>
        </w:rPr>
        <w:t>31/5/2006</w:t>
      </w:r>
      <w:proofErr w:type="gramEnd"/>
      <w:r>
        <w:rPr>
          <w:rFonts w:hAnsi="Times New Roman"/>
          <w:sz w:val="18"/>
          <w:szCs w:val="18"/>
        </w:rPr>
        <w:t xml:space="preserve"> tarihli ve 5510 sayılı Sosyal Sigortalar ve Genel Sağlık Sigortası Kanununun 102 </w:t>
      </w:r>
      <w:proofErr w:type="spellStart"/>
      <w:r>
        <w:rPr>
          <w:rFonts w:hAnsi="Times New Roman"/>
          <w:sz w:val="18"/>
          <w:szCs w:val="18"/>
        </w:rPr>
        <w:t>nci</w:t>
      </w:r>
      <w:proofErr w:type="spellEnd"/>
      <w:r>
        <w:rPr>
          <w:rFonts w:hAnsi="Times New Roman"/>
          <w:sz w:val="18"/>
          <w:szCs w:val="18"/>
        </w:rPr>
        <w:t xml:space="preserve"> maddesinin birinci fıkrasının (j) bendinde bu Kanunun 3 üncü maddesi ile yapılan değişiklik, bu Kanunun yayımı tarihinden önce tahakkuk ettirildiği halde ödenmemiş olan cezalar için de uygulanır, ancak tahsil edilmiş tutarlar </w:t>
      </w:r>
      <w:proofErr w:type="spellStart"/>
      <w:r>
        <w:rPr>
          <w:rFonts w:hAnsi="Times New Roman"/>
          <w:sz w:val="18"/>
          <w:szCs w:val="18"/>
        </w:rPr>
        <w:t>red</w:t>
      </w:r>
      <w:proofErr w:type="spellEnd"/>
      <w:r>
        <w:rPr>
          <w:rFonts w:hAnsi="Times New Roman"/>
          <w:sz w:val="18"/>
          <w:szCs w:val="18"/>
        </w:rPr>
        <w:t xml:space="preserve"> ve iade veya mahsup edilmez.</w:t>
      </w:r>
    </w:p>
    <w:p w:rsidR="00F96298" w:rsidRDefault="00F96298" w:rsidP="00F96298">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Bu Kanunun 5 inci ve 6 </w:t>
      </w:r>
      <w:proofErr w:type="spellStart"/>
      <w:r>
        <w:rPr>
          <w:rFonts w:hAnsi="Times New Roman"/>
          <w:sz w:val="18"/>
          <w:szCs w:val="18"/>
        </w:rPr>
        <w:t>ncı</w:t>
      </w:r>
      <w:proofErr w:type="spellEnd"/>
      <w:r>
        <w:rPr>
          <w:rFonts w:hAnsi="Times New Roman"/>
          <w:sz w:val="18"/>
          <w:szCs w:val="18"/>
        </w:rPr>
        <w:t xml:space="preserve"> maddeleri 2013 yılı Ocak ayı ödeme döneminde, diğer maddeleri yayımı tarihinde yürürlüğe girer.</w:t>
      </w:r>
    </w:p>
    <w:p w:rsidR="00F96298" w:rsidRDefault="00F96298" w:rsidP="00F96298">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Bu Kanun hükümlerini Bakanlar Kurulu yürütür.</w:t>
      </w:r>
    </w:p>
    <w:p w:rsidR="00F96298" w:rsidRDefault="00F96298" w:rsidP="00F96298">
      <w:pPr>
        <w:pStyle w:val="3-NormalYaz0"/>
        <w:spacing w:line="240" w:lineRule="exact"/>
        <w:jc w:val="center"/>
        <w:rPr>
          <w:rFonts w:hAnsi="Times New Roman"/>
          <w:sz w:val="18"/>
          <w:szCs w:val="18"/>
        </w:rPr>
      </w:pPr>
      <w:proofErr w:type="gramStart"/>
      <w:r>
        <w:rPr>
          <w:rFonts w:hAnsi="Times New Roman"/>
          <w:sz w:val="18"/>
          <w:szCs w:val="18"/>
        </w:rPr>
        <w:t>7/3/2012</w:t>
      </w:r>
      <w:proofErr w:type="gramEnd"/>
    </w:p>
    <w:p w:rsidR="00F96298" w:rsidRDefault="00F96298" w:rsidP="005E1582">
      <w:pPr>
        <w:rPr>
          <w:b/>
          <w:szCs w:val="20"/>
          <w:u w:val="single"/>
        </w:rPr>
      </w:pPr>
    </w:p>
    <w:sectPr w:rsidR="00F9629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3D81"/>
    <w:rsid w:val="002A4077"/>
    <w:rsid w:val="002C02C0"/>
    <w:rsid w:val="002C1E2B"/>
    <w:rsid w:val="002C33C3"/>
    <w:rsid w:val="002C4909"/>
    <w:rsid w:val="002C4FB7"/>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73A80"/>
    <w:rsid w:val="00974A77"/>
    <w:rsid w:val="00980B75"/>
    <w:rsid w:val="009A2833"/>
    <w:rsid w:val="009A61F8"/>
    <w:rsid w:val="00A34212"/>
    <w:rsid w:val="00A34B40"/>
    <w:rsid w:val="00A41744"/>
    <w:rsid w:val="00A41E4C"/>
    <w:rsid w:val="00A449B3"/>
    <w:rsid w:val="00A55CAE"/>
    <w:rsid w:val="00A5766C"/>
    <w:rsid w:val="00A74E8A"/>
    <w:rsid w:val="00A8124A"/>
    <w:rsid w:val="00A81CDA"/>
    <w:rsid w:val="00A916CE"/>
    <w:rsid w:val="00AA3186"/>
    <w:rsid w:val="00AC1AC1"/>
    <w:rsid w:val="00AE5B2B"/>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57C4A"/>
    <w:rsid w:val="00F70FEF"/>
    <w:rsid w:val="00F843E9"/>
    <w:rsid w:val="00F96298"/>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1159</Words>
  <Characters>6608</Characters>
  <Application>Microsoft Office Word</Application>
  <DocSecurity>0</DocSecurity>
  <Lines>55</Lines>
  <Paragraphs>15</Paragraphs>
  <ScaleCrop>false</ScaleCrop>
  <Company>TURMOB</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241</cp:revision>
  <dcterms:created xsi:type="dcterms:W3CDTF">2011-12-01T06:40:00Z</dcterms:created>
  <dcterms:modified xsi:type="dcterms:W3CDTF">2012-03-08T06:31:00Z</dcterms:modified>
</cp:coreProperties>
</file>