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7B39DF" w:rsidP="005E1582">
      <w:pPr>
        <w:rPr>
          <w:rFonts w:asciiTheme="majorHAnsi" w:hAnsiTheme="majorHAnsi" w:cs="Times New Roman"/>
          <w:b/>
          <w:u w:val="single"/>
        </w:rPr>
      </w:pPr>
      <w:r>
        <w:rPr>
          <w:rFonts w:asciiTheme="majorHAnsi" w:hAnsiTheme="majorHAnsi" w:cs="Times New Roman"/>
          <w:b/>
          <w:u w:val="single"/>
        </w:rPr>
        <w:t>3</w:t>
      </w:r>
      <w:r w:rsidR="003D13AB">
        <w:rPr>
          <w:rFonts w:asciiTheme="majorHAnsi" w:hAnsiTheme="majorHAnsi" w:cs="Times New Roman"/>
          <w:b/>
          <w:u w:val="single"/>
        </w:rPr>
        <w:t>1</w:t>
      </w:r>
      <w:r w:rsidR="00AE5B2B" w:rsidRPr="000C7FC3">
        <w:rPr>
          <w:rFonts w:asciiTheme="majorHAnsi" w:hAnsiTheme="majorHAnsi" w:cs="Times New Roman"/>
          <w:b/>
          <w:u w:val="single"/>
        </w:rPr>
        <w:t xml:space="preserve"> Mart</w:t>
      </w:r>
      <w:r w:rsidR="005E1582" w:rsidRPr="000C7FC3">
        <w:rPr>
          <w:rFonts w:asciiTheme="majorHAnsi" w:hAnsiTheme="majorHAnsi" w:cs="Times New Roman"/>
          <w:b/>
          <w:u w:val="single"/>
        </w:rPr>
        <w:t xml:space="preserve"> 2012,</w:t>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AE5B2B" w:rsidRPr="000C7FC3">
        <w:rPr>
          <w:rFonts w:asciiTheme="majorHAnsi" w:hAnsiTheme="majorHAnsi" w:cs="Times New Roman"/>
          <w:b/>
          <w:u w:val="single"/>
        </w:rPr>
        <w:t xml:space="preserve">        </w:t>
      </w:r>
      <w:r w:rsidR="005E1582" w:rsidRPr="000C7FC3">
        <w:rPr>
          <w:rFonts w:asciiTheme="majorHAnsi" w:hAnsiTheme="majorHAnsi" w:cs="Times New Roman"/>
          <w:b/>
          <w:u w:val="single"/>
        </w:rPr>
        <w:t xml:space="preserve">    </w:t>
      </w:r>
      <w:proofErr w:type="gramStart"/>
      <w:r w:rsidR="009E0B03" w:rsidRPr="000C7FC3">
        <w:rPr>
          <w:rFonts w:asciiTheme="majorHAnsi" w:hAnsiTheme="majorHAnsi" w:cs="Times New Roman"/>
          <w:b/>
          <w:u w:val="single"/>
        </w:rPr>
        <w:t xml:space="preserve">Sayı : </w:t>
      </w:r>
      <w:r w:rsidR="003D13AB">
        <w:rPr>
          <w:rFonts w:asciiTheme="majorHAnsi" w:hAnsiTheme="majorHAnsi" w:cs="Times New Roman"/>
          <w:b/>
          <w:u w:val="single"/>
        </w:rPr>
        <w:t>28250</w:t>
      </w:r>
      <w:proofErr w:type="gramEnd"/>
    </w:p>
    <w:p w:rsidR="003D13AB" w:rsidRDefault="003D13AB" w:rsidP="003D13AB">
      <w:pPr>
        <w:tabs>
          <w:tab w:val="left" w:pos="566"/>
        </w:tabs>
        <w:spacing w:after="0" w:line="240" w:lineRule="exact"/>
        <w:ind w:firstLine="566"/>
        <w:rPr>
          <w:rFonts w:ascii="Times New Roman" w:eastAsia="ヒラギノ明朝 Pro W3" w:hAnsi="Times New Roman" w:cs="Times New Roman"/>
          <w:sz w:val="18"/>
          <w:szCs w:val="18"/>
          <w:u w:val="single"/>
        </w:rPr>
      </w:pPr>
      <w:r w:rsidRPr="003D13AB">
        <w:rPr>
          <w:rFonts w:ascii="Times New Roman" w:eastAsia="ヒラギノ明朝 Pro W3" w:hAnsi="Times New Roman" w:cs="Times New Roman"/>
          <w:sz w:val="18"/>
          <w:szCs w:val="18"/>
          <w:u w:val="single"/>
        </w:rPr>
        <w:t>Gümrük ve Ticaret Bakanlığından:</w:t>
      </w:r>
    </w:p>
    <w:p w:rsidR="003D13AB" w:rsidRPr="003D13AB" w:rsidRDefault="003D13AB" w:rsidP="003D13AB">
      <w:pPr>
        <w:tabs>
          <w:tab w:val="left" w:pos="566"/>
        </w:tabs>
        <w:spacing w:after="0" w:line="240" w:lineRule="exact"/>
        <w:ind w:firstLine="566"/>
        <w:rPr>
          <w:rFonts w:ascii="Times New Roman" w:eastAsia="ヒラギノ明朝 Pro W3" w:hAnsi="Times New Roman" w:cs="Times New Roman"/>
          <w:sz w:val="18"/>
          <w:szCs w:val="18"/>
          <w:u w:val="single"/>
        </w:rPr>
      </w:pPr>
    </w:p>
    <w:p w:rsidR="003D13AB" w:rsidRPr="003D13AB" w:rsidRDefault="003D13AB" w:rsidP="003D13AB">
      <w:pPr>
        <w:spacing w:after="0" w:line="240" w:lineRule="exact"/>
        <w:jc w:val="center"/>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GÜMRÜK YÖNETMELİĞİNDE DEĞİŞİKLİK YAPILMASINA</w:t>
      </w:r>
    </w:p>
    <w:p w:rsidR="003D13AB" w:rsidRPr="003D13AB" w:rsidRDefault="003D13AB" w:rsidP="003D13AB">
      <w:pPr>
        <w:spacing w:after="0" w:line="240" w:lineRule="exact"/>
        <w:jc w:val="center"/>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DAİR YÖNETMELİK</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1 –</w:t>
      </w:r>
      <w:r w:rsidRPr="003D13AB">
        <w:rPr>
          <w:rFonts w:ascii="Times New Roman" w:eastAsia="ヒラギノ明朝 Pro W3" w:hAnsi="Times New Roman" w:cs="Times New Roman"/>
          <w:sz w:val="18"/>
          <w:szCs w:val="18"/>
        </w:rPr>
        <w:t xml:space="preserve"> </w:t>
      </w:r>
      <w:proofErr w:type="gramStart"/>
      <w:r w:rsidRPr="003D13AB">
        <w:rPr>
          <w:rFonts w:ascii="Times New Roman" w:eastAsia="ヒラギノ明朝 Pro W3" w:hAnsi="Times New Roman" w:cs="Times New Roman"/>
          <w:sz w:val="18"/>
          <w:szCs w:val="18"/>
        </w:rPr>
        <w:t>7/10/2009</w:t>
      </w:r>
      <w:proofErr w:type="gramEnd"/>
      <w:r w:rsidRPr="003D13AB">
        <w:rPr>
          <w:rFonts w:ascii="Times New Roman" w:eastAsia="ヒラギノ明朝 Pro W3" w:hAnsi="Times New Roman" w:cs="Times New Roman"/>
          <w:sz w:val="18"/>
          <w:szCs w:val="18"/>
        </w:rPr>
        <w:t xml:space="preserve"> tarihli ve 27369 mükerrer sayılı Resmî Gazete’de yayımlanan Gümrük Yönetmeliğinin 53 üncü maddesine aşağıdaki fıkra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13AB">
        <w:rPr>
          <w:rFonts w:ascii="Times New Roman" w:eastAsia="ヒラギノ明朝 Pro W3" w:hAnsi="Times New Roman" w:cs="Times New Roman"/>
          <w:sz w:val="18"/>
          <w:szCs w:val="18"/>
        </w:rPr>
        <w:t>“(6) İstisnai kıymetle beyana ilişkin tamamlayıcı beyanların süresi içerisinde verilmemesi nedeniyle zamanında ödenmeyen gümrük vergileri için eşyanın serbest dolaşıma girişine ilişkin beyannamenin tescil tarihinden itibaren 6183 sayılı Amme Alacaklarının Tahsil Usulü Hakkında Kanun hükümlerine göre belirlenen gecikme zammı oranında gecikme faizi tahsil edilir ve Kanunun 241 inci maddesinin birinci fıkrası uyarınca işlem yapılır.”</w:t>
      </w:r>
      <w:proofErr w:type="gramEnd"/>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2 – </w:t>
      </w:r>
      <w:r w:rsidRPr="003D13AB">
        <w:rPr>
          <w:rFonts w:ascii="Times New Roman" w:eastAsia="ヒラギノ明朝 Pro W3" w:hAnsi="Times New Roman" w:cs="Times New Roman"/>
          <w:sz w:val="18"/>
          <w:szCs w:val="18"/>
        </w:rPr>
        <w:t>Aynı Yönetmeliğin 63 üncü maddesinin dokuzuncu fıkrasının birinci cümlesi aşağıdaki şekilde değiştirilmiştir.</w:t>
      </w:r>
    </w:p>
    <w:p w:rsidR="003D13AB" w:rsidRPr="003D13AB" w:rsidRDefault="003D13AB" w:rsidP="003D13AB">
      <w:pPr>
        <w:tabs>
          <w:tab w:val="left" w:pos="566"/>
        </w:tabs>
        <w:spacing w:after="0" w:line="240" w:lineRule="exact"/>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“Türkiye Gümrük Bölgesine giriş yapan araç içerisinde özet beyan verilmeksizin eşya getirildiğinin, eşyayı Türkiye Gümrük Bölgesine getiren ya da taşıma sorumluluğunu üstlenen kişi tarafından, 67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maddede belirtilen sürelerden sonra, eşyanın boşaltılmasına izin verilmesinden önce bildirilmesi durumunda, bu kişilerce bu kapsamdaki eşya için özet beyan verilir.”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3 –</w:t>
      </w:r>
      <w:r w:rsidRPr="003D13AB">
        <w:rPr>
          <w:rFonts w:ascii="Times New Roman" w:eastAsia="ヒラギノ明朝 Pro W3" w:hAnsi="Times New Roman" w:cs="Times New Roman"/>
          <w:sz w:val="18"/>
          <w:szCs w:val="18"/>
        </w:rPr>
        <w:t xml:space="preserve"> Anılan Yönetmeliğin 67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birinci fıkrasının (c) bendi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“c) Karadeniz ya da Akdeniz üzerindeki yabancı ülke limanları ve Avrupa Topluluğu gümrük bölgesinde yer alan limanlar (Fransa’nın denizaşırı illeri, </w:t>
      </w:r>
      <w:proofErr w:type="spellStart"/>
      <w:r w:rsidRPr="003D13AB">
        <w:rPr>
          <w:rFonts w:ascii="Times New Roman" w:eastAsia="ヒラギノ明朝 Pro W3" w:hAnsi="Times New Roman" w:cs="Times New Roman"/>
          <w:sz w:val="18"/>
          <w:szCs w:val="18"/>
        </w:rPr>
        <w:t>Azorlar</w:t>
      </w:r>
      <w:proofErr w:type="spellEnd"/>
      <w:r w:rsidRPr="003D13AB">
        <w:rPr>
          <w:rFonts w:ascii="Times New Roman" w:eastAsia="ヒラギノ明朝 Pro W3" w:hAnsi="Times New Roman" w:cs="Times New Roman"/>
          <w:sz w:val="18"/>
          <w:szCs w:val="18"/>
        </w:rPr>
        <w:t xml:space="preserve">, </w:t>
      </w:r>
      <w:proofErr w:type="spellStart"/>
      <w:r w:rsidRPr="003D13AB">
        <w:rPr>
          <w:rFonts w:ascii="Times New Roman" w:eastAsia="ヒラギノ明朝 Pro W3" w:hAnsi="Times New Roman" w:cs="Times New Roman"/>
          <w:sz w:val="18"/>
          <w:szCs w:val="18"/>
        </w:rPr>
        <w:t>Madeira</w:t>
      </w:r>
      <w:proofErr w:type="spellEnd"/>
      <w:r w:rsidRPr="003D13AB">
        <w:rPr>
          <w:rFonts w:ascii="Times New Roman" w:eastAsia="ヒラギノ明朝 Pro W3" w:hAnsi="Times New Roman" w:cs="Times New Roman"/>
          <w:sz w:val="18"/>
          <w:szCs w:val="18"/>
        </w:rPr>
        <w:t xml:space="preserve"> ve Kanarya Adaları hariç) ile Türkiye Gümrük Bölgesindeki limanlar arasında taşınan eşya için ilk varış limanına gelmeden en az iki saat önce,”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4 – </w:t>
      </w:r>
      <w:r w:rsidRPr="003D13AB">
        <w:rPr>
          <w:rFonts w:ascii="Times New Roman" w:eastAsia="ヒラギノ明朝 Pro W3" w:hAnsi="Times New Roman" w:cs="Times New Roman"/>
          <w:sz w:val="18"/>
          <w:szCs w:val="18"/>
        </w:rPr>
        <w:t>Aynı Yönetmeliğin 74 üncü maddesinin birinci fıkrasında yer alan “geçici depolama yeri işletmelerinin yetkili memurları” ibaresi “geçici depolama yeri işletmelerinin yetkili personeli” şeklinde, “geçici depolama yeri işletme memuru” ibaresi “geçici depolama yeri işletme personeli” şeklinde ve “işletme memuruna” ibaresi “işletme personeline” şeklinde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5 – </w:t>
      </w:r>
      <w:r w:rsidRPr="003D13AB">
        <w:rPr>
          <w:rFonts w:ascii="Times New Roman" w:eastAsia="ヒラギノ明朝 Pro W3" w:hAnsi="Times New Roman" w:cs="Times New Roman"/>
          <w:sz w:val="18"/>
          <w:szCs w:val="18"/>
        </w:rPr>
        <w:t xml:space="preserve">Aynı Yönetmeliğin 77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ikinci fıkrasında yer alan “eşyanın gümrükçe onaylanmış bir işlem veya kullanıma tabi tutulabilmesi için” ibaresi yürürlükten kaldırılmıştır.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6 – </w:t>
      </w:r>
      <w:r w:rsidRPr="003D13AB">
        <w:rPr>
          <w:rFonts w:ascii="Times New Roman" w:eastAsia="ヒラギノ明朝 Pro W3" w:hAnsi="Times New Roman" w:cs="Times New Roman"/>
          <w:sz w:val="18"/>
          <w:szCs w:val="18"/>
        </w:rPr>
        <w:t>Aynı Yönetmeliğin 78 inci maddesinin üçüncü fıkrasında yer alan “işletme memuru” ibaresi “işletme personeli” şeklinde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7 – </w:t>
      </w:r>
      <w:r w:rsidRPr="003D13AB">
        <w:rPr>
          <w:rFonts w:ascii="Times New Roman" w:eastAsia="ヒラギノ明朝 Pro W3" w:hAnsi="Times New Roman" w:cs="Times New Roman"/>
          <w:sz w:val="18"/>
          <w:szCs w:val="18"/>
        </w:rPr>
        <w:t>Aynı Yönetmeliğin 84 üncü maddesinin birinci fıkrasında yer alan “işletme memuru” ibaresi “işletme personeli” şeklinde ve aynı maddenin üçüncü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“(3) </w:t>
      </w:r>
      <w:proofErr w:type="spellStart"/>
      <w:r w:rsidRPr="003D13AB">
        <w:rPr>
          <w:rFonts w:ascii="Times New Roman" w:eastAsia="ヒラギノ明朝 Pro W3" w:hAnsi="Times New Roman" w:cs="Times New Roman"/>
          <w:sz w:val="18"/>
          <w:szCs w:val="18"/>
        </w:rPr>
        <w:t>Rezerveli</w:t>
      </w:r>
      <w:proofErr w:type="spellEnd"/>
      <w:r w:rsidRPr="003D13AB">
        <w:rPr>
          <w:rFonts w:ascii="Times New Roman" w:eastAsia="ヒラギノ明朝 Pro W3" w:hAnsi="Times New Roman" w:cs="Times New Roman"/>
          <w:sz w:val="18"/>
          <w:szCs w:val="18"/>
        </w:rPr>
        <w:t xml:space="preserve"> eşya bu husustaki tutanağın düzenlenmesinden sonra işletme personeli ve gümrük memurları tarafından geçici depolama yerinde ayrılmış kapalı ve muhafazalı rezerve yerine konulur. Bu yerler işletme personeli ve gümrük memurları tarafından çift kilit altında bulundurulur.”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8 – </w:t>
      </w:r>
      <w:r w:rsidRPr="003D13AB">
        <w:rPr>
          <w:rFonts w:ascii="Times New Roman" w:eastAsia="ヒラギノ明朝 Pro W3" w:hAnsi="Times New Roman" w:cs="Times New Roman"/>
          <w:sz w:val="18"/>
          <w:szCs w:val="18"/>
        </w:rPr>
        <w:t>Aynı Yönetmeliğin 88 inci maddesinin birinci fıkrasında yer alan “geçici depolama yeri memurunun” ibaresi “geçici depolama yeri personelinin” şeklinde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9 – </w:t>
      </w:r>
      <w:r w:rsidRPr="003D13AB">
        <w:rPr>
          <w:rFonts w:ascii="Times New Roman" w:eastAsia="ヒラギノ明朝 Pro W3" w:hAnsi="Times New Roman" w:cs="Times New Roman"/>
          <w:sz w:val="18"/>
          <w:szCs w:val="18"/>
        </w:rPr>
        <w:t>Aynı Yönetmeliğin 95 inci maddesinin ikinci fıkrasında yer alan “işletme memuru” ibaresi “işletme personeli” şeklinde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10 – </w:t>
      </w:r>
      <w:r w:rsidRPr="003D13AB">
        <w:rPr>
          <w:rFonts w:ascii="Times New Roman" w:eastAsia="ヒラギノ明朝 Pro W3" w:hAnsi="Times New Roman" w:cs="Times New Roman"/>
          <w:sz w:val="18"/>
          <w:szCs w:val="18"/>
        </w:rPr>
        <w:t>Aynı Yönetmeliğin 171 inci maddesinin başlığı aşağıdaki şekilde değiştirilmiş ve aynı maddeye aşağıdaki fıkralar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“Geçici ithalatta ve dâhilde işlemede sözlü beyana tabi eşya”</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13AB">
        <w:rPr>
          <w:rFonts w:ascii="Times New Roman" w:eastAsia="ヒラギノ明朝 Pro W3" w:hAnsi="Times New Roman" w:cs="Times New Roman"/>
          <w:sz w:val="18"/>
          <w:szCs w:val="18"/>
        </w:rPr>
        <w:t xml:space="preserve">“(4) Dâhilde işleme izni kapsamında, ithalatını müteakip, ihraç ürünlerinin elde edilmesinde kullanılmak üzere Türkiye Gümrük Bölgesine getirilen elyaf, iplik, ham ve mamul mensucat (astar dâhil) gibi temel tekstil hammaddeleri ile tekstil ve deri kimyasal maddeleri dışında kalan tela, etiket, düğme, fermuar, çıtçıt, </w:t>
      </w:r>
      <w:proofErr w:type="spellStart"/>
      <w:r w:rsidRPr="003D13AB">
        <w:rPr>
          <w:rFonts w:ascii="Times New Roman" w:eastAsia="ヒラギノ明朝 Pro W3" w:hAnsi="Times New Roman" w:cs="Times New Roman"/>
          <w:sz w:val="18"/>
          <w:szCs w:val="18"/>
        </w:rPr>
        <w:t>rivet</w:t>
      </w:r>
      <w:proofErr w:type="spellEnd"/>
      <w:r w:rsidRPr="003D13AB">
        <w:rPr>
          <w:rFonts w:ascii="Times New Roman" w:eastAsia="ヒラギノ明朝 Pro W3" w:hAnsi="Times New Roman" w:cs="Times New Roman"/>
          <w:sz w:val="18"/>
          <w:szCs w:val="18"/>
        </w:rPr>
        <w:t xml:space="preserve">, askı, kuşgözü, şerit, </w:t>
      </w:r>
      <w:proofErr w:type="spellStart"/>
      <w:r w:rsidRPr="003D13AB">
        <w:rPr>
          <w:rFonts w:ascii="Times New Roman" w:eastAsia="ヒラギノ明朝 Pro W3" w:hAnsi="Times New Roman" w:cs="Times New Roman"/>
          <w:sz w:val="18"/>
          <w:szCs w:val="18"/>
        </w:rPr>
        <w:t>kordela</w:t>
      </w:r>
      <w:proofErr w:type="spellEnd"/>
      <w:r w:rsidRPr="003D13AB">
        <w:rPr>
          <w:rFonts w:ascii="Times New Roman" w:eastAsia="ヒラギノ明朝 Pro W3" w:hAnsi="Times New Roman" w:cs="Times New Roman"/>
          <w:sz w:val="18"/>
          <w:szCs w:val="18"/>
        </w:rPr>
        <w:t xml:space="preserve"> ve lastik gibi yardımcı maddeler gümrük idarelerine sözlü olarak beyan edilebilir.</w:t>
      </w:r>
      <w:proofErr w:type="gramEnd"/>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(5) Dâhilde işleme izni kapsamında sözlü olarak beyan edilebilecek eşyaya ilişkin kıymet ve/veya miktar Bakanlıkça belirlenir.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(6) Dâhilde işleme izni kapsamında sözlü beyan, sözlü olarak beyan edilebilecek eşyanın sadece Türkiye Gümrük Bölgesine girişinde kullanılabilir.”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11 – </w:t>
      </w:r>
      <w:r w:rsidRPr="003D13AB">
        <w:rPr>
          <w:rFonts w:ascii="Times New Roman" w:eastAsia="ヒラギノ明朝 Pro W3" w:hAnsi="Times New Roman" w:cs="Times New Roman"/>
          <w:sz w:val="18"/>
          <w:szCs w:val="18"/>
        </w:rPr>
        <w:t xml:space="preserve">Aynı Yönetmeliğin 172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ikinci fıkrasına aşağıdaki bent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"(ç) Dâhilde işlemede 1, 5, 6, 8, 22, 29, 31, 33, 36, 37, 41, 42, 52 ve 54 no.lu kutularının doldurulması zorunlu; 2, 14, 16, 30, 34, 40 ve 44 no.lu kutularının doldurulması ihtiyaridir."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12 – </w:t>
      </w:r>
      <w:r w:rsidRPr="003D13AB">
        <w:rPr>
          <w:rFonts w:ascii="Times New Roman" w:eastAsia="ヒラギノ明朝 Pro W3" w:hAnsi="Times New Roman" w:cs="Times New Roman"/>
          <w:sz w:val="18"/>
          <w:szCs w:val="18"/>
        </w:rPr>
        <w:t>Aynı Yönetmeliğin 380 inci maddesine aşağıdaki fıkra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13AB">
        <w:rPr>
          <w:rFonts w:ascii="Times New Roman" w:eastAsia="ヒラギノ明朝 Pro W3" w:hAnsi="Times New Roman" w:cs="Times New Roman"/>
          <w:sz w:val="18"/>
          <w:szCs w:val="18"/>
        </w:rPr>
        <w:t>“(4) Geçici ithal edilen eşyanın yurt dışı edilmesi ya da gümrükçe onaylanmış bir işlem veya kullanıma tabi tutulması için dış ticaret mevzuatı ya da sair mevzuat gereğince ibraz edilmesi gereken uygunluk belgesi, kontrol belgesi, ithal lisansı, izin yazısı, gözetim belgesi, tahlil raporu gibi belgelerin alınması veya buna ilişkin işlemlerin yerine getirilmesi ya da kiralama kapsamı hava taşıtlarının iadesi için gereken teknik bakım süreci sırasında geçen süreler, işlem tarihinin başladığı tarihte durdurularak rejimde kalış süresinin hesaplanmasında göz önünde bulundurulmaz ve işlemin sonuçlandığı tarihten itibaren kalan süre verilir.”</w:t>
      </w:r>
      <w:proofErr w:type="gramEnd"/>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13 – </w:t>
      </w:r>
      <w:r w:rsidRPr="003D13AB">
        <w:rPr>
          <w:rFonts w:ascii="Times New Roman" w:eastAsia="ヒラギノ明朝 Pro W3" w:hAnsi="Times New Roman" w:cs="Times New Roman"/>
          <w:sz w:val="18"/>
          <w:szCs w:val="18"/>
        </w:rPr>
        <w:t xml:space="preserve">Aynı Yönetmeliğin 386 </w:t>
      </w:r>
      <w:proofErr w:type="spellStart"/>
      <w:r w:rsidRPr="003D13AB">
        <w:rPr>
          <w:rFonts w:ascii="Times New Roman" w:eastAsia="ヒラギノ明朝 Pro W3" w:hAnsi="Times New Roman" w:cs="Times New Roman"/>
          <w:sz w:val="18"/>
          <w:szCs w:val="18"/>
        </w:rPr>
        <w:t>ncı</w:t>
      </w:r>
      <w:proofErr w:type="spellEnd"/>
      <w:r w:rsidRPr="003D13AB">
        <w:rPr>
          <w:rFonts w:ascii="Times New Roman" w:eastAsia="ヒラギノ明朝 Pro W3" w:hAnsi="Times New Roman" w:cs="Times New Roman"/>
          <w:sz w:val="18"/>
          <w:szCs w:val="18"/>
        </w:rPr>
        <w:t xml:space="preserve"> maddesine aşağıdaki fıkra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lastRenderedPageBreak/>
        <w:t>“(6) Tam muafiyet suretiyle geçici ithalat izni verilen ticari kullanıma mahsus taşıtların serbest dolaşıma giriş rejimine tabi tutulması durumunda eşyanın gümrük kıymeti, Türkiye Muhasebe Standartları çerçevesinde tespit edilecek değerdir. Söz konusu standartlara göre tespit edilecek kıymet, taşıt araçlarının emsal kıymetinden düşük olamaz.”</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14 – </w:t>
      </w:r>
      <w:r w:rsidRPr="003D13AB">
        <w:rPr>
          <w:rFonts w:ascii="Times New Roman" w:eastAsia="ヒラギノ明朝 Pro W3" w:hAnsi="Times New Roman" w:cs="Times New Roman"/>
          <w:sz w:val="18"/>
          <w:szCs w:val="18"/>
        </w:rPr>
        <w:t xml:space="preserve">Aynı Yönetmeliğin 512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birinci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“(1) Geçici depolama yeri açmak üzere başvuran gerçek kişilerin ve tüzel kişilerin yönetim kurulu üyeleri, şirketi temsile yetkili kişiler ile şirket sermayesinin % 10 veya daha fazlasına sahip gerçek kişilerin, affa uğramış olsalar dahi hırsızlık, güveni kötüye kullanma, dolandırıcılık, hileli iflas, kamu güvenine karşı suçlar, suç işlemek amacıyla örgüt kurma, ihaleye fesat karıştırma, edimin ifasına fesat karıştırma, zimmet, irtikap, zimmet veya irtikâp suçunun işlenmesine kasten göz yumma, rüşvet, iftira, suç uydurma, yalan tanıklık, yalan yere yemin, suç delillerini yok etme, gizleme veya değiştirme, muhafaza görevini kötüye kullanma suçları ile 5607 Sayılı Kaçakçılıkla Mücadele Kanunu, mülga 4926 sayılı Kaçakçılıkla Mücadele Kanunu, mülga 1918 sayılı Kaçakçılığın Men ve Takibine Dair Kanun, 1567 Sayılı Türk Parasının Kıymetini Koruma Hakkında Kanun, 213 sayılı Vergi Usul Kanununun 359 uncu maddesinde (</w:t>
      </w:r>
      <w:proofErr w:type="gramStart"/>
      <w:r w:rsidRPr="003D13AB">
        <w:rPr>
          <w:rFonts w:ascii="Times New Roman" w:eastAsia="ヒラギノ明朝 Pro W3" w:hAnsi="Times New Roman" w:cs="Times New Roman"/>
          <w:sz w:val="18"/>
          <w:szCs w:val="18"/>
        </w:rPr>
        <w:t>1/1/1999</w:t>
      </w:r>
      <w:proofErr w:type="gramEnd"/>
      <w:r w:rsidRPr="003D13AB">
        <w:rPr>
          <w:rFonts w:ascii="Times New Roman" w:eastAsia="ヒラギノ明朝 Pro W3" w:hAnsi="Times New Roman" w:cs="Times New Roman"/>
          <w:sz w:val="18"/>
          <w:szCs w:val="18"/>
        </w:rPr>
        <w:t xml:space="preserve"> tarihinden önceki dönem için aynı Kanunun 344 üncü maddesinin l-6 numaralı bentlerinde) belirtilen vergi kaçakçılığına ilişkin fiillerden mahkum olmamış/ceza almamış olmaları şarttır.”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15 – </w:t>
      </w:r>
      <w:r w:rsidRPr="003D13AB">
        <w:rPr>
          <w:rFonts w:ascii="Times New Roman" w:eastAsia="ヒラギノ明朝 Pro W3" w:hAnsi="Times New Roman" w:cs="Times New Roman"/>
          <w:sz w:val="18"/>
          <w:szCs w:val="18"/>
        </w:rPr>
        <w:t>Aynı Yönetmeliğin 513 üncü maddesinin birinci fıkrasında yer alan “78” ibaresi “512” şeklinde değiştirilmiş ve maddeye aşağıdaki fıkralar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“(6) Gümrük idaresi ve diğer kamu kurum ve kuruluşlarının sorumluluğunda geçici depolama yerinin olması, mevcut geçici depolama yerlerinin ihtiyacı karşılaması ve ekonomik yönden ihtiyaç bulunmaması halinde yeni geçici depolama yeri açılışına izin verilmez.</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(7) İkinci fıkranın (b) bendinde belirtilen yerler dışında geçici depolama yeri olarak açılıp işletilmek istenilen yerlerin, en az 3.000 m</w:t>
      </w:r>
      <w:r w:rsidRPr="003D13AB">
        <w:rPr>
          <w:rFonts w:ascii="Times New Roman" w:eastAsia="ヒラギノ明朝 Pro W3" w:hAnsi="Times New Roman" w:cs="Times New Roman"/>
          <w:sz w:val="18"/>
          <w:szCs w:val="18"/>
          <w:vertAlign w:val="superscript"/>
        </w:rPr>
        <w:t>2</w:t>
      </w:r>
      <w:r w:rsidRPr="003D13AB">
        <w:rPr>
          <w:rFonts w:ascii="Times New Roman" w:eastAsia="ヒラギノ明朝 Pro W3" w:hAnsi="Times New Roman" w:cs="Times New Roman"/>
          <w:sz w:val="18"/>
          <w:szCs w:val="18"/>
        </w:rPr>
        <w:t>’si kapalı olmak üzere 10.000 m</w:t>
      </w:r>
      <w:r w:rsidRPr="003D13AB">
        <w:rPr>
          <w:rFonts w:ascii="Times New Roman" w:eastAsia="ヒラギノ明朝 Pro W3" w:hAnsi="Times New Roman" w:cs="Times New Roman"/>
          <w:sz w:val="18"/>
          <w:szCs w:val="18"/>
          <w:vertAlign w:val="superscript"/>
        </w:rPr>
        <w:t>2</w:t>
      </w:r>
      <w:r w:rsidRPr="003D13AB">
        <w:rPr>
          <w:rFonts w:ascii="Times New Roman" w:eastAsia="ヒラギノ明朝 Pro W3" w:hAnsi="Times New Roman" w:cs="Times New Roman"/>
          <w:sz w:val="18"/>
          <w:szCs w:val="18"/>
        </w:rPr>
        <w:t>’den küçük olmaması ve mutat yolların izlenmesi kaydıyla gümrük müdürlüğüne en fazla 10 km mesafede olması gerekir.”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16 – </w:t>
      </w:r>
      <w:r w:rsidRPr="003D13AB">
        <w:rPr>
          <w:rFonts w:ascii="Times New Roman" w:eastAsia="ヒラギノ明朝 Pro W3" w:hAnsi="Times New Roman" w:cs="Times New Roman"/>
          <w:sz w:val="18"/>
          <w:szCs w:val="18"/>
        </w:rPr>
        <w:t>Aynı Yönetmeliğin 514 üncü maddesinin birinci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“(1) Geçici depolama yerlerinde bulunan eşyanın geçerli veya zorlayıcı nedenler dışında ziyanından, hasara uğramasından veya değiştirilmesinden doğan mali sorumluluk işleticilere aittir. Bu sorumluluk söz konusu eşyaya ait gümrük vergileri ile Kanunun 235 ve 236 </w:t>
      </w:r>
      <w:proofErr w:type="spellStart"/>
      <w:r w:rsidRPr="003D13AB">
        <w:rPr>
          <w:rFonts w:ascii="Times New Roman" w:eastAsia="ヒラギノ明朝 Pro W3" w:hAnsi="Times New Roman" w:cs="Times New Roman"/>
          <w:sz w:val="18"/>
          <w:szCs w:val="18"/>
        </w:rPr>
        <w:t>ncı</w:t>
      </w:r>
      <w:proofErr w:type="spellEnd"/>
      <w:r w:rsidRPr="003D13AB">
        <w:rPr>
          <w:rFonts w:ascii="Times New Roman" w:eastAsia="ヒラギノ明朝 Pro W3" w:hAnsi="Times New Roman" w:cs="Times New Roman"/>
          <w:sz w:val="18"/>
          <w:szCs w:val="18"/>
        </w:rPr>
        <w:t xml:space="preserve"> maddelerindeki cezalarının gümrük idaresine ödenmesini de kapsar. Sorumlular hakkında duruma göre ayrıca 5607 sayılı Kaçakçılıkla Mücadele Kanunu hükümleri uyarınca işlem yapılır.”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17 – </w:t>
      </w:r>
      <w:r w:rsidRPr="003D13AB">
        <w:rPr>
          <w:rFonts w:ascii="Times New Roman" w:eastAsia="ヒラギノ明朝 Pro W3" w:hAnsi="Times New Roman" w:cs="Times New Roman"/>
          <w:sz w:val="18"/>
          <w:szCs w:val="18"/>
        </w:rPr>
        <w:t xml:space="preserve">Aynı Yönetmeliğin 516 </w:t>
      </w:r>
      <w:proofErr w:type="spellStart"/>
      <w:r w:rsidRPr="003D13AB">
        <w:rPr>
          <w:rFonts w:ascii="Times New Roman" w:eastAsia="ヒラギノ明朝 Pro W3" w:hAnsi="Times New Roman" w:cs="Times New Roman"/>
          <w:sz w:val="18"/>
          <w:szCs w:val="18"/>
        </w:rPr>
        <w:t>ncı</w:t>
      </w:r>
      <w:proofErr w:type="spellEnd"/>
      <w:r w:rsidRPr="003D13AB">
        <w:rPr>
          <w:rFonts w:ascii="Times New Roman" w:eastAsia="ヒラギノ明朝 Pro W3" w:hAnsi="Times New Roman" w:cs="Times New Roman"/>
          <w:sz w:val="18"/>
          <w:szCs w:val="18"/>
        </w:rPr>
        <w:t xml:space="preserve"> maddesi başlığı ile birlikte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“İşleticilerinin talebi üzerine geçici depolama yerinin kapatılması</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516 –</w:t>
      </w:r>
      <w:r w:rsidRPr="003D13AB">
        <w:rPr>
          <w:rFonts w:ascii="Times New Roman" w:eastAsia="ヒラギノ明朝 Pro W3" w:hAnsi="Times New Roman" w:cs="Times New Roman"/>
          <w:sz w:val="18"/>
          <w:szCs w:val="18"/>
        </w:rPr>
        <w:t xml:space="preserve"> (1) Açtıkları geçici depolama yerini kısmen veya tamamen kapatmak isteyenler, bu taleplerini yazılı olarak ilgili gümrük idaresine bildirir.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(2) İşleticilerinin isteği üzerine geçici depolama yerlerinin kapatılmasına ilişkin talepler, geçici depolama yerinin faaliyet gösterdiği yıllara ilişkin harç makbuzlarının tamam olduğunun, boş olduğunun ve defter kayıtlarına uygunluğunun tespit edilmesi üzerine ilgili gümrük müdürlüğünce sonuçlandırılır ve sonucundan bölge müdürlüğüne ve Bakanlığa bilgi verilir.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(3) Kapatılacak geçici depolama yerlerine yeniden eşya konmasına izin verilmez ve varsa buradaki eşya, her türlü masrafı geçici depolama yeri işleticilerine ait olmak üzere gümrük idaresince gösterilen diğer geçici depolama yerlerine nakil veya yabancı memleketlere ihraç olunur ya da Kanunun 74 üncü maddesi çerçevesinde serbest dolaşıma sokulur. Bu işlemler tamamlanıncaya kadar geçici depolama yeri işleticilerinin taahhüt ve sorumluluğu devam eder.”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18 –</w:t>
      </w:r>
      <w:r w:rsidRPr="003D13AB">
        <w:rPr>
          <w:rFonts w:ascii="Times New Roman" w:eastAsia="ヒラギノ明朝 Pro W3" w:hAnsi="Times New Roman" w:cs="Times New Roman"/>
          <w:sz w:val="18"/>
          <w:szCs w:val="18"/>
        </w:rPr>
        <w:t xml:space="preserve"> Aynı Yönetmeliğin 517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517 – </w:t>
      </w:r>
      <w:r w:rsidRPr="003D13AB">
        <w:rPr>
          <w:rFonts w:ascii="Times New Roman" w:eastAsia="ヒラギノ明朝 Pro W3" w:hAnsi="Times New Roman" w:cs="Times New Roman"/>
          <w:sz w:val="18"/>
          <w:szCs w:val="18"/>
        </w:rPr>
        <w:t>(1) Taahhütlerini ve Yönetmelikte belirtilen yükümlülüklerini yerine getirmeyen geçici depolama yeri işleticilerine tebligat yapılarak bir yılı geçmeyecek şekilde belirlenen süre içerisinde bu yükümlülüklerini yerine getirmeleri, aksi halde verilen süre sonunda geçici depolama yeri açma ve işletme izninin geri alınacağı bildirilir. İstenen hususlar yerine getirilmediği takdirde, durum ilgili bölge müdürlüğü aracılığıyla Bakanlığa iletilir. Bakanlıkça işletme izni geri alınır.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(2) Gümrük ve Ticaret Müfettişi ve Müfettiş yardımcıları ile gümrük idare amirleri veya yetkili kılınacak görevliler tarafından yapılacak denetleme neticesinde kaçakçılık gibi bir </w:t>
      </w:r>
      <w:proofErr w:type="spellStart"/>
      <w:r w:rsidRPr="003D13AB">
        <w:rPr>
          <w:rFonts w:ascii="Times New Roman" w:eastAsia="ヒラギノ明朝 Pro W3" w:hAnsi="Times New Roman" w:cs="Times New Roman"/>
          <w:sz w:val="18"/>
          <w:szCs w:val="18"/>
        </w:rPr>
        <w:t>suistimal</w:t>
      </w:r>
      <w:proofErr w:type="spellEnd"/>
      <w:r w:rsidRPr="003D13AB">
        <w:rPr>
          <w:rFonts w:ascii="Times New Roman" w:eastAsia="ヒラギノ明朝 Pro W3" w:hAnsi="Times New Roman" w:cs="Times New Roman"/>
          <w:sz w:val="18"/>
          <w:szCs w:val="18"/>
        </w:rPr>
        <w:t xml:space="preserve"> ve/veya yolsuzluk saptanması halinde, geçici depolama yeri geçici olarak derhal kapatılır ve durum Bakanlığa iletilir. Yapılacak inceleme sonucunda geçici depolama yeri açma ve işletme izni Bakanlıkça geri alınabilir.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(3) İznin geri alındığı hallerde de geçici depolama yerlerindeki eşya hakkında 516 </w:t>
      </w:r>
      <w:proofErr w:type="spellStart"/>
      <w:r w:rsidRPr="003D13AB">
        <w:rPr>
          <w:rFonts w:ascii="Times New Roman" w:eastAsia="ヒラギノ明朝 Pro W3" w:hAnsi="Times New Roman" w:cs="Times New Roman"/>
          <w:sz w:val="18"/>
          <w:szCs w:val="18"/>
        </w:rPr>
        <w:t>ncı</w:t>
      </w:r>
      <w:proofErr w:type="spellEnd"/>
      <w:r w:rsidRPr="003D13AB">
        <w:rPr>
          <w:rFonts w:ascii="Times New Roman" w:eastAsia="ヒラギノ明朝 Pro W3" w:hAnsi="Times New Roman" w:cs="Times New Roman"/>
          <w:sz w:val="18"/>
          <w:szCs w:val="18"/>
        </w:rPr>
        <w:t xml:space="preserve"> maddenin üçüncü fıkrası hükümleri uygulanır.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(4) 516 </w:t>
      </w:r>
      <w:proofErr w:type="spellStart"/>
      <w:r w:rsidRPr="003D13AB">
        <w:rPr>
          <w:rFonts w:ascii="Times New Roman" w:eastAsia="ヒラギノ明朝 Pro W3" w:hAnsi="Times New Roman" w:cs="Times New Roman"/>
          <w:sz w:val="18"/>
          <w:szCs w:val="18"/>
        </w:rPr>
        <w:t>ncı</w:t>
      </w:r>
      <w:proofErr w:type="spellEnd"/>
      <w:r w:rsidRPr="003D13AB">
        <w:rPr>
          <w:rFonts w:ascii="Times New Roman" w:eastAsia="ヒラギノ明朝 Pro W3" w:hAnsi="Times New Roman" w:cs="Times New Roman"/>
          <w:sz w:val="18"/>
          <w:szCs w:val="18"/>
        </w:rPr>
        <w:t xml:space="preserve"> madde hükümleri çerçevesinde sahiplerinin isteği ile kapatılma hali hariç, geçici depolama yeri açma ve işletme izni geri alınan;</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a) Gerçek kişilere,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b) Tüzel kişilere,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c) Tüzel kişiliğin yönetim kurulu üyelerine, şirketi temsile yetkili kişilere ve şirket sermayesinin %10 veya daha fazlasına sahip gerçek kişilere,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ç) (c) bendinde belirtilen gerçek kişilerin yer aldığı diğer tüzel kişilere,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13AB">
        <w:rPr>
          <w:rFonts w:ascii="Times New Roman" w:eastAsia="ヒラギノ明朝 Pro W3" w:hAnsi="Times New Roman" w:cs="Times New Roman"/>
          <w:sz w:val="18"/>
          <w:szCs w:val="18"/>
        </w:rPr>
        <w:t>iznin</w:t>
      </w:r>
      <w:proofErr w:type="gramEnd"/>
      <w:r w:rsidRPr="003D13AB">
        <w:rPr>
          <w:rFonts w:ascii="Times New Roman" w:eastAsia="ヒラギノ明朝 Pro W3" w:hAnsi="Times New Roman" w:cs="Times New Roman"/>
          <w:sz w:val="18"/>
          <w:szCs w:val="18"/>
        </w:rPr>
        <w:t xml:space="preserve"> geri alındığı tarihten itibaren 5 yıl süre ile yeniden geçici depolama açma izni verilmez.”</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19 – </w:t>
      </w:r>
      <w:r w:rsidRPr="003D13AB">
        <w:rPr>
          <w:rFonts w:ascii="Times New Roman" w:eastAsia="ヒラギノ明朝 Pro W3" w:hAnsi="Times New Roman" w:cs="Times New Roman"/>
          <w:sz w:val="18"/>
          <w:szCs w:val="18"/>
        </w:rPr>
        <w:t>Aynı Yönetmeliğin 518 inci maddesinin üçüncü fıkrası aşağıdaki şekilde değiştirilmiş ve aynı maddeye aşağıdaki fıkra eklenmiştir.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“(3) Akaryakıt antrepolarına ilişkin yatırım izni talepleri Bakanlıkça (Tasfiye Hizmetleri Genel Müdürlüğü) sonuçlandırılır.”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“(4) Aynı tesis içinde bulunan tanklarda, Enerji Piyasası Düzenleme Kurumu tarafından depolama lisansı düzenlenen eşya ile depolama lisansı düzenlenmeyen transit rejimi kapsamında eşya depolanmasına yönelik akaryakıt antreposu açma ve </w:t>
      </w:r>
      <w:r w:rsidRPr="003D13AB">
        <w:rPr>
          <w:rFonts w:ascii="Times New Roman" w:eastAsia="ヒラギノ明朝 Pro W3" w:hAnsi="Times New Roman" w:cs="Times New Roman"/>
          <w:sz w:val="18"/>
          <w:szCs w:val="18"/>
        </w:rPr>
        <w:lastRenderedPageBreak/>
        <w:t>işletme yatırım izin talepleri değerlendirmeye alınmaz. İkinci fıkrada belirtilen dilekçede, yatırım talebinin, depolama lisansına tabi eşya veya depolama lisansı düzenlenmeyen transit rejimi kapsamında eşya depolanmasından hangisine yönelik olduğu belirtilir.”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20 –</w:t>
      </w:r>
      <w:r w:rsidRPr="003D13AB">
        <w:rPr>
          <w:rFonts w:ascii="Times New Roman" w:eastAsia="ヒラギノ明朝 Pro W3" w:hAnsi="Times New Roman" w:cs="Times New Roman"/>
          <w:sz w:val="18"/>
          <w:szCs w:val="18"/>
        </w:rPr>
        <w:t xml:space="preserve"> Aynı Yönetmeliğin 519 uncu maddesinin birinci fıkrasının (c) bendi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“(c) Antrepo açma izni almak üzere başvuracak gerçek kişilerin ve tüzel kişilerin yönetim kurulu üyeleri, şirketi temsile yetkili kişiler ile şirket sermayesinin % 10 veya daha fazlasına sahip gerçek kişilerin, affa uğramış olsalar dahi hırsızlık, güveni kötüye kullanma, dolandırıcılık, hileli iflas, kamu güvenine karşı işlenen suçlar, suç işlemek amacıyla örgüt kurma, ihaleye fesat karıştırma, edimin ifasına fesat karıştırma, zimmet, irtikap, zimmet veya irtikâp suçunun işlenmesine kasten göz yumma, rüşvet, iftira, suç uydurma, yalan tanıklık, yalan yere yemin, suç delillerini yok etme, gizleme veya değiştirme, muhafaza görevini kötüye kullanma suçları ile 5607 sayılı Kaçakçılıkla Mücadele Kanunu, mülga 4926 sayılı Kaçakçılıkla Mücadele Kanunu, mülga 1918 sayılı Kaçakçılığın Men ve Takibine Dair Kanun, 1567 sayılı Türk Parasının Kıymetini Koruma Hakkında Kanun, 213 sayılı Vergi Usul Kanununun 359 uncu maddesinde (</w:t>
      </w:r>
      <w:proofErr w:type="gramStart"/>
      <w:r w:rsidRPr="003D13AB">
        <w:rPr>
          <w:rFonts w:ascii="Times New Roman" w:eastAsia="ヒラギノ明朝 Pro W3" w:hAnsi="Times New Roman" w:cs="Times New Roman"/>
          <w:sz w:val="18"/>
          <w:szCs w:val="18"/>
        </w:rPr>
        <w:t>1/1/1999</w:t>
      </w:r>
      <w:proofErr w:type="gramEnd"/>
      <w:r w:rsidRPr="003D13AB">
        <w:rPr>
          <w:rFonts w:ascii="Times New Roman" w:eastAsia="ヒラギノ明朝 Pro W3" w:hAnsi="Times New Roman" w:cs="Times New Roman"/>
          <w:sz w:val="18"/>
          <w:szCs w:val="18"/>
        </w:rPr>
        <w:t xml:space="preserve"> tarihinden önceki dönem için aynı Kanunun 344 üncü maddesinin l-6 numaralı bentlerinde) belirtilen vergi kaçakçılığına ilişkin fiillerden mahkum olmamış/ceza almamış olmaları şarttır.”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21 –</w:t>
      </w:r>
      <w:r w:rsidRPr="003D13AB">
        <w:rPr>
          <w:rFonts w:ascii="Times New Roman" w:eastAsia="ヒラギノ明朝 Pro W3" w:hAnsi="Times New Roman" w:cs="Times New Roman"/>
          <w:sz w:val="18"/>
          <w:szCs w:val="18"/>
        </w:rPr>
        <w:t xml:space="preserve"> Aynı Yönetmeliğin 520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birinci fıkrasına (ğ) ve (h) bentleri eklenmiş, üçüncü fıkrasında yer alan “Müsteşarlıkça” ibaresi “Bakanlıkça” olarak ve ikinci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“(ğ) İlgili Ticaret Sicili Gazetesi (tadiller dâhil) aslı veya örneği,</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(h) Yetkilendirilmiş Gümrük Müşaviri tarafından düzenlenen görgü raporu.”</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“(2) C, D ve E tipi özel antrepo açmak isteyen ve birinci fıkrada belirtilen şartları haiz gerçek ve tüzel kişilerin, birinci fıkranın (a), (b), (c), (ç), (d), (e), (f), (ğ) ve (h) bentlerinde sayılan belgelerle birlikte ilgili gümrük idaresine müracaat etmeleri gerekir. C, D ve E tipi özel antrepo olarak açılmak istenilen yerin, işyerinin sınırları içerisinde bulunması halinde, İşyeri Açma ve Çalıştırma Ruhsatı veya buna karşılık gelen belge yeterli olup bu belgelerde antrepo veya depo ibaresinin aranması zorunlu değildir.”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22 – </w:t>
      </w:r>
      <w:r w:rsidRPr="003D13AB">
        <w:rPr>
          <w:rFonts w:ascii="Times New Roman" w:eastAsia="ヒラギノ明朝 Pro W3" w:hAnsi="Times New Roman" w:cs="Times New Roman"/>
          <w:sz w:val="18"/>
          <w:szCs w:val="18"/>
        </w:rPr>
        <w:t>Aynı Yönetmeliğin 524 üncü maddesinin dördüncü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“(4) Bu madde uyarınca, antrepolarda yapılacak değişikliklerle ilgili olarak yetkilendirilmiş gümrük müşavirince tespit raporu düzenlenir. Akaryakıt antrepolarına ilişkin olanlar Bakanlığa (Tasfiye Hizmetleri Genel Müdürlüğü) gönderilir.”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23 –</w:t>
      </w:r>
      <w:r w:rsidRPr="003D13AB">
        <w:rPr>
          <w:rFonts w:ascii="Times New Roman" w:eastAsia="ヒラギノ明朝 Pro W3" w:hAnsi="Times New Roman" w:cs="Times New Roman"/>
          <w:sz w:val="18"/>
          <w:szCs w:val="18"/>
        </w:rPr>
        <w:t xml:space="preserve"> Aynı Yönetmeliğin 534 üncü maddesinin birinci fıkrasının (g) bendinde yer alan “üç yıl” ibaresi “bir yıl” şeklinde ve (k) bendinin (13) numaralı alt bendi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“13) Aynı borudaki eşyanın niteliğini tayin edebilmek için;</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3D13AB">
        <w:rPr>
          <w:rFonts w:ascii="Times New Roman" w:eastAsia="ヒラギノ明朝 Pro W3" w:hAnsi="Times New Roman" w:cs="Times New Roman"/>
          <w:sz w:val="18"/>
          <w:szCs w:val="18"/>
        </w:rPr>
        <w:t>aa</w:t>
      </w:r>
      <w:proofErr w:type="spellEnd"/>
      <w:r w:rsidRPr="003D13AB">
        <w:rPr>
          <w:rFonts w:ascii="Times New Roman" w:eastAsia="ヒラギノ明朝 Pro W3" w:hAnsi="Times New Roman" w:cs="Times New Roman"/>
          <w:sz w:val="18"/>
          <w:szCs w:val="18"/>
        </w:rPr>
        <w:t>) Borunun uzunluğunun yüz metreden daha uzun olması halinde takriben yüz metre,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3D13AB">
        <w:rPr>
          <w:rFonts w:ascii="Times New Roman" w:eastAsia="ヒラギノ明朝 Pro W3" w:hAnsi="Times New Roman" w:cs="Times New Roman"/>
          <w:sz w:val="18"/>
          <w:szCs w:val="18"/>
        </w:rPr>
        <w:t>bb</w:t>
      </w:r>
      <w:proofErr w:type="spellEnd"/>
      <w:r w:rsidRPr="003D13AB">
        <w:rPr>
          <w:rFonts w:ascii="Times New Roman" w:eastAsia="ヒラギノ明朝 Pro W3" w:hAnsi="Times New Roman" w:cs="Times New Roman"/>
          <w:sz w:val="18"/>
          <w:szCs w:val="18"/>
        </w:rPr>
        <w:t>) Fiziki koşullar nedeniyle aynı borunun uzunluğunun yüz metreden kısa olması halinde borunun başlangıcı ile tanka bağlantı yeri arasında maksimum,</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13AB">
        <w:rPr>
          <w:rFonts w:ascii="Times New Roman" w:eastAsia="ヒラギノ明朝 Pro W3" w:hAnsi="Times New Roman" w:cs="Times New Roman"/>
          <w:sz w:val="18"/>
          <w:szCs w:val="18"/>
        </w:rPr>
        <w:t>mesafede</w:t>
      </w:r>
      <w:proofErr w:type="gramEnd"/>
      <w:r w:rsidRPr="003D13AB">
        <w:rPr>
          <w:rFonts w:ascii="Times New Roman" w:eastAsia="ヒラギノ明朝 Pro W3" w:hAnsi="Times New Roman" w:cs="Times New Roman"/>
          <w:sz w:val="18"/>
          <w:szCs w:val="18"/>
        </w:rPr>
        <w:t xml:space="preserve"> iki adet numune alma yeri bulunması,”</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24 –</w:t>
      </w:r>
      <w:r w:rsidRPr="003D13AB">
        <w:rPr>
          <w:rFonts w:ascii="Times New Roman" w:eastAsia="ヒラギノ明朝 Pro W3" w:hAnsi="Times New Roman" w:cs="Times New Roman"/>
          <w:sz w:val="18"/>
          <w:szCs w:val="18"/>
        </w:rPr>
        <w:t xml:space="preserve"> Aynı Yönetmeliğin 535 inci maddesinin başlığı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“Antrepo ve geçici depolama yeri açma ve işletme izin belgeleri ve harçların tahsili”</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25 – </w:t>
      </w:r>
      <w:r w:rsidRPr="003D13AB">
        <w:rPr>
          <w:rFonts w:ascii="Times New Roman" w:eastAsia="ヒラギノ明朝 Pro W3" w:hAnsi="Times New Roman" w:cs="Times New Roman"/>
          <w:sz w:val="18"/>
          <w:szCs w:val="18"/>
        </w:rPr>
        <w:t>Aynı Yönetmeliğin 541 inci maddesinin birinci fıkrası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 xml:space="preserve">“(1) Akaryakıt antrepoları, </w:t>
      </w:r>
      <w:proofErr w:type="gramStart"/>
      <w:r w:rsidRPr="003D13AB">
        <w:rPr>
          <w:rFonts w:ascii="Times New Roman" w:eastAsia="ヒラギノ明朝 Pro W3" w:hAnsi="Times New Roman" w:cs="Times New Roman"/>
          <w:sz w:val="18"/>
          <w:szCs w:val="18"/>
        </w:rPr>
        <w:t>17/6/2004</w:t>
      </w:r>
      <w:proofErr w:type="gramEnd"/>
      <w:r w:rsidRPr="003D13AB">
        <w:rPr>
          <w:rFonts w:ascii="Times New Roman" w:eastAsia="ヒラギノ明朝 Pro W3" w:hAnsi="Times New Roman" w:cs="Times New Roman"/>
          <w:sz w:val="18"/>
          <w:szCs w:val="18"/>
        </w:rPr>
        <w:t xml:space="preserve"> tarihli ve 25495 sayılı Resmî Gazete’de yayımlanan Petrol Piyasası Lisans Yönetmeliğinin 4 üncü maddesinde petrol ve akaryakıt olarak tanımlanan eşyanın dökme veya kaplı olarak konulmasına özgü genel veya özel antrepolardır. Akaryakıt konulan antrepoların mal tahmil ve tahliyesinde kullanılan boru hatları da antreponun mütemmim cüzü sayılır. Antrepo izninde antrepo tipi de gösterilir.”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26 – </w:t>
      </w:r>
      <w:r w:rsidRPr="003D13AB">
        <w:rPr>
          <w:rFonts w:ascii="Times New Roman" w:eastAsia="ヒラギノ明朝 Pro W3" w:hAnsi="Times New Roman" w:cs="Times New Roman"/>
          <w:sz w:val="18"/>
          <w:szCs w:val="18"/>
        </w:rPr>
        <w:t xml:space="preserve">Aynı Yönetmeliğin 557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maddesinin birinci fıkrası ile 558 inci maddesinin birinci ve dördüncü fıkralarında yer alan “gümrük müfettiş ve yardımcıları ile Gümrükler Genel Müdürlüğü kontrolörleri ve stajyer kontrolörleri” ibareleri, “gümrük ve ticaret müfettişi ve müfettiş yardımcıları” olarak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27 –</w:t>
      </w:r>
      <w:r w:rsidRPr="003D13AB">
        <w:rPr>
          <w:rFonts w:ascii="Times New Roman" w:eastAsia="ヒラギノ明朝 Pro W3" w:hAnsi="Times New Roman" w:cs="Times New Roman"/>
          <w:sz w:val="18"/>
          <w:szCs w:val="18"/>
        </w:rPr>
        <w:t xml:space="preserve"> Aynı Yönetmeliğin ekinde yer alan EK-10 T.C. Gümrük Özet Beyan Formu’nun “Özet Beyan Formu Kutularına İlişkin Açıklama Notları” bölümünde yer alan 27 </w:t>
      </w:r>
      <w:proofErr w:type="spellStart"/>
      <w:r w:rsidRPr="003D13AB">
        <w:rPr>
          <w:rFonts w:ascii="Times New Roman" w:eastAsia="ヒラギノ明朝 Pro W3" w:hAnsi="Times New Roman" w:cs="Times New Roman"/>
          <w:sz w:val="18"/>
          <w:szCs w:val="18"/>
        </w:rPr>
        <w:t>nci</w:t>
      </w:r>
      <w:proofErr w:type="spellEnd"/>
      <w:r w:rsidRPr="003D13AB">
        <w:rPr>
          <w:rFonts w:ascii="Times New Roman" w:eastAsia="ヒラギノ明朝 Pro W3" w:hAnsi="Times New Roman" w:cs="Times New Roman"/>
          <w:sz w:val="18"/>
          <w:szCs w:val="18"/>
        </w:rPr>
        <w:t xml:space="preserve"> satır aşağıdaki şekilde değiştirilmiştir.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“(27) Nakliye Ücretinin ödeme şekli: Bilinmesi halinde nakliye ücretinin ödeme şekli, aşağıdaki kodlar kullanılarak girilir.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A- Nakit ödeme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B- Kredi kartıyla ödeme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C- Çekle ödeme</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D- Diğerleri (Nakit hesabına doğrudan ödeme gibi)</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H- Elektronik kredi transferi</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Y- Taşıyıcı ile olan cari hesap</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Z- Ön ödemeli değil”</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28 –</w:t>
      </w:r>
      <w:r w:rsidRPr="003D13AB">
        <w:rPr>
          <w:rFonts w:ascii="Times New Roman" w:eastAsia="ヒラギノ明朝 Pro W3" w:hAnsi="Times New Roman" w:cs="Times New Roman"/>
          <w:sz w:val="18"/>
          <w:szCs w:val="18"/>
        </w:rPr>
        <w:t xml:space="preserve"> Aynı Yönetmeliğin ekinde yer alan EK-14 Gümrük Beyannamesi Kullanma Talimatı’nın “(Ek 9)” bölümünün sonuna aşağıdaki kısım eklenmiş ve “(Ek 14) Rejim Kodu” bölümünde yer alan “7300” numaralı kodun bulunduğu satır yürürlükten kaldırılmıştır.</w:t>
      </w:r>
    </w:p>
    <w:p w:rsidR="003D13AB" w:rsidRPr="003D13AB" w:rsidRDefault="003D13AB" w:rsidP="003D13AB">
      <w:pPr>
        <w:spacing w:after="0" w:line="240" w:lineRule="exact"/>
        <w:jc w:val="center"/>
        <w:rPr>
          <w:rFonts w:ascii="Times New Roman" w:eastAsia="ヒラギノ明朝 Pro W3" w:hAnsi="Times New Roman" w:cs="Times New Roman"/>
          <w:b/>
          <w:sz w:val="18"/>
          <w:szCs w:val="18"/>
        </w:rPr>
      </w:pPr>
      <w:r w:rsidRPr="003D13AB">
        <w:rPr>
          <w:rFonts w:ascii="Times New Roman" w:eastAsia="ヒラギノ明朝 Pro W3" w:hAnsi="Times New Roman" w:cs="Times New Roman"/>
          <w:b/>
          <w:sz w:val="18"/>
          <w:szCs w:val="18"/>
        </w:rPr>
        <w:t>“SINIR TİCARET MERKEZLERİNE İLİŞKİN KODLAR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sz w:val="18"/>
          <w:szCs w:val="18"/>
        </w:rPr>
        <w:t>Sınır Ticaret Merkezlerine ilişkin kodlar Bakanlık internet sitesinde yayımlanır.”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29 –</w:t>
      </w:r>
      <w:r w:rsidRPr="003D13AB">
        <w:rPr>
          <w:rFonts w:ascii="Times New Roman" w:eastAsia="ヒラギノ明朝 Pro W3" w:hAnsi="Times New Roman" w:cs="Times New Roman"/>
          <w:sz w:val="18"/>
          <w:szCs w:val="18"/>
        </w:rPr>
        <w:t xml:space="preserve"> Aynı Yönetmeliğin ekinde yer alan EK-82 Kanunun 241 inci Maddesinin Birinci Fıkrası Uyarınca Usulsüzlük Cezasını Gerektiren Fiiller tablosuna aşağıdaki satırlar eklenmiştir.</w:t>
      </w:r>
    </w:p>
    <w:p w:rsidR="003D13AB" w:rsidRPr="003D13AB" w:rsidRDefault="003D13AB" w:rsidP="003D13AB">
      <w:pPr>
        <w:spacing w:after="0" w:line="240" w:lineRule="exact"/>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w:t>
      </w:r>
    </w:p>
    <w:tbl>
      <w:tblPr>
        <w:tblW w:w="8941" w:type="dxa"/>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
        <w:gridCol w:w="8489"/>
      </w:tblGrid>
      <w:tr w:rsidR="003D13AB" w:rsidRPr="003D13AB">
        <w:trPr>
          <w:trHeight w:val="274"/>
          <w:jc w:val="center"/>
        </w:trPr>
        <w:tc>
          <w:tcPr>
            <w:tcW w:w="452"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43</w:t>
            </w:r>
          </w:p>
        </w:tc>
        <w:tc>
          <w:tcPr>
            <w:tcW w:w="848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Varış bildiriminin, taşıma aracının eşyanın boşaltılacağı gümrük idaresine ulaşmasından sonraki altı saatten daha sonra verilmesi.</w:t>
            </w:r>
          </w:p>
        </w:tc>
      </w:tr>
      <w:tr w:rsidR="003D13AB" w:rsidRPr="003D13AB">
        <w:trPr>
          <w:trHeight w:val="240"/>
          <w:jc w:val="center"/>
        </w:trPr>
        <w:tc>
          <w:tcPr>
            <w:tcW w:w="452"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44</w:t>
            </w:r>
          </w:p>
        </w:tc>
        <w:tc>
          <w:tcPr>
            <w:tcW w:w="848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Çıkış bildiriminin, taşıtın Türkiye Gümrük Bölgesini terk etmesinden sonra verilmesi.</w:t>
            </w:r>
          </w:p>
        </w:tc>
      </w:tr>
      <w:tr w:rsidR="003D13AB" w:rsidRPr="003D13AB">
        <w:trPr>
          <w:trHeight w:val="255"/>
          <w:jc w:val="center"/>
        </w:trPr>
        <w:tc>
          <w:tcPr>
            <w:tcW w:w="452"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lastRenderedPageBreak/>
              <w:t>45</w:t>
            </w:r>
          </w:p>
        </w:tc>
        <w:tc>
          <w:tcPr>
            <w:tcW w:w="848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Özet beyanın Ek-10’a uygun olarak doldurulmaması.</w:t>
            </w:r>
          </w:p>
        </w:tc>
      </w:tr>
      <w:tr w:rsidR="003D13AB" w:rsidRPr="003D13AB">
        <w:trPr>
          <w:trHeight w:val="240"/>
          <w:jc w:val="center"/>
        </w:trPr>
        <w:tc>
          <w:tcPr>
            <w:tcW w:w="452"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46</w:t>
            </w:r>
          </w:p>
        </w:tc>
        <w:tc>
          <w:tcPr>
            <w:tcW w:w="848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Varış bildiriminin, öncesinde verilmiş olan özet beyanların tespiti için gereken bilgileri içermemesi.</w:t>
            </w:r>
          </w:p>
        </w:tc>
      </w:tr>
      <w:tr w:rsidR="003D13AB" w:rsidRPr="003D13AB">
        <w:trPr>
          <w:trHeight w:val="507"/>
          <w:jc w:val="center"/>
        </w:trPr>
        <w:tc>
          <w:tcPr>
            <w:tcW w:w="452"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47</w:t>
            </w:r>
          </w:p>
        </w:tc>
        <w:tc>
          <w:tcPr>
            <w:tcW w:w="848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spacing w:after="0" w:line="240" w:lineRule="exact"/>
              <w:jc w:val="both"/>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 xml:space="preserve">Çıkış bildiriminin, öncesinde verilmiş olan gümrük beyannamesi, beyanname yerine geçen belge veya özet beyanın tespiti için gereken bilgileri içermemesi. </w:t>
            </w:r>
          </w:p>
        </w:tc>
      </w:tr>
    </w:tbl>
    <w:p w:rsidR="003D13AB" w:rsidRPr="003D13AB" w:rsidRDefault="003D13AB" w:rsidP="003D13AB">
      <w:pPr>
        <w:spacing w:after="0" w:line="240" w:lineRule="exact"/>
        <w:ind w:firstLine="709"/>
        <w:jc w:val="right"/>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MADDE 30 –</w:t>
      </w:r>
      <w:r w:rsidRPr="003D13AB">
        <w:rPr>
          <w:rFonts w:ascii="Times New Roman" w:eastAsia="ヒラギノ明朝 Pro W3" w:hAnsi="Times New Roman" w:cs="Times New Roman"/>
          <w:sz w:val="18"/>
          <w:szCs w:val="18"/>
        </w:rPr>
        <w:t xml:space="preserve"> Bu Yönetmelik yayımı tarihinde yürürlüğe girer.</w:t>
      </w:r>
    </w:p>
    <w:p w:rsidR="003D13AB" w:rsidRPr="003D13AB" w:rsidRDefault="003D13AB" w:rsidP="003D13AB">
      <w:pPr>
        <w:tabs>
          <w:tab w:val="left" w:pos="566"/>
        </w:tabs>
        <w:spacing w:after="0" w:line="240" w:lineRule="exact"/>
        <w:ind w:firstLine="566"/>
        <w:jc w:val="both"/>
        <w:rPr>
          <w:rFonts w:ascii="Times New Roman" w:eastAsia="ヒラギノ明朝 Pro W3" w:hAnsi="Times New Roman" w:cs="Times New Roman"/>
          <w:sz w:val="18"/>
          <w:szCs w:val="18"/>
        </w:rPr>
      </w:pPr>
      <w:r w:rsidRPr="003D13AB">
        <w:rPr>
          <w:rFonts w:ascii="Times New Roman" w:eastAsia="ヒラギノ明朝 Pro W3" w:hAnsi="Times New Roman" w:cs="Times New Roman"/>
          <w:b/>
          <w:sz w:val="18"/>
          <w:szCs w:val="18"/>
        </w:rPr>
        <w:t xml:space="preserve">MADDE 31 – </w:t>
      </w:r>
      <w:r w:rsidRPr="003D13AB">
        <w:rPr>
          <w:rFonts w:ascii="Times New Roman" w:eastAsia="ヒラギノ明朝 Pro W3" w:hAnsi="Times New Roman" w:cs="Times New Roman"/>
          <w:sz w:val="18"/>
          <w:szCs w:val="18"/>
        </w:rPr>
        <w:t>Bu Yönetmelik hükümlerini Gümrük ve Ticaret Bakanı yürütür.</w:t>
      </w:r>
    </w:p>
    <w:p w:rsidR="003D13AB" w:rsidRPr="003D13AB" w:rsidRDefault="003D13AB" w:rsidP="003D13AB">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498"/>
        <w:gridCol w:w="3600"/>
        <w:gridCol w:w="3600"/>
      </w:tblGrid>
      <w:tr w:rsidR="003D13AB" w:rsidRPr="003D13AB">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 </w:t>
            </w:r>
          </w:p>
        </w:tc>
        <w:tc>
          <w:tcPr>
            <w:tcW w:w="72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Yönetmeliğin Yayımlandığı Resmî Gazete’nin</w:t>
            </w:r>
          </w:p>
        </w:tc>
      </w:tr>
      <w:tr w:rsidR="003D13AB" w:rsidRPr="003D13A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13AB" w:rsidRPr="003D13AB" w:rsidRDefault="003D13AB" w:rsidP="003D13AB">
            <w:pPr>
              <w:spacing w:after="0" w:line="240" w:lineRule="auto"/>
              <w:rPr>
                <w:rFonts w:ascii="Times New Roman" w:eastAsia="Times New Roman" w:hAnsi="Times New Roman" w:cs="Times New Roman"/>
                <w:sz w:val="18"/>
                <w:szCs w:val="18"/>
                <w:lang w:eastAsia="tr-TR"/>
              </w:rPr>
            </w:pP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Tarihi</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Sayısı</w:t>
            </w:r>
          </w:p>
        </w:tc>
      </w:tr>
      <w:tr w:rsidR="003D13AB" w:rsidRPr="003D13A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13AB" w:rsidRPr="003D13AB" w:rsidRDefault="003D13AB" w:rsidP="003D13AB">
            <w:pPr>
              <w:spacing w:after="0" w:line="240" w:lineRule="auto"/>
              <w:rPr>
                <w:rFonts w:ascii="Times New Roman" w:eastAsia="Times New Roman" w:hAnsi="Times New Roman" w:cs="Times New Roman"/>
                <w:sz w:val="18"/>
                <w:szCs w:val="18"/>
                <w:lang w:eastAsia="tr-TR"/>
              </w:rPr>
            </w:pP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7/10/2009</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 xml:space="preserve">27369 (Mükerrer) </w:t>
            </w:r>
          </w:p>
        </w:tc>
      </w:tr>
      <w:tr w:rsidR="003D13AB" w:rsidRPr="003D13A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13AB" w:rsidRPr="003D13AB" w:rsidRDefault="003D13AB" w:rsidP="003D13AB">
            <w:pPr>
              <w:spacing w:after="0" w:line="240" w:lineRule="auto"/>
              <w:rPr>
                <w:rFonts w:ascii="Times New Roman" w:eastAsia="Times New Roman" w:hAnsi="Times New Roman" w:cs="Times New Roman"/>
                <w:sz w:val="18"/>
                <w:szCs w:val="18"/>
                <w:lang w:eastAsia="tr-TR"/>
              </w:rPr>
            </w:pPr>
          </w:p>
        </w:tc>
        <w:tc>
          <w:tcPr>
            <w:tcW w:w="72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Yönetmelikte Değişiklik Yapan Yönetmeliklerin Yayımlandığı Resmî Gazetelerin</w:t>
            </w:r>
          </w:p>
        </w:tc>
      </w:tr>
      <w:tr w:rsidR="003D13AB" w:rsidRPr="003D13A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13AB" w:rsidRPr="003D13AB" w:rsidRDefault="003D13AB" w:rsidP="003D13AB">
            <w:pPr>
              <w:spacing w:after="0" w:line="240" w:lineRule="auto"/>
              <w:rPr>
                <w:rFonts w:ascii="Times New Roman" w:eastAsia="Times New Roman" w:hAnsi="Times New Roman" w:cs="Times New Roman"/>
                <w:sz w:val="18"/>
                <w:szCs w:val="18"/>
                <w:lang w:eastAsia="tr-TR"/>
              </w:rPr>
            </w:pP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Tarihi</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b/>
                <w:bCs/>
                <w:sz w:val="18"/>
                <w:szCs w:val="18"/>
                <w:lang w:eastAsia="tr-TR"/>
              </w:rPr>
              <w:t>Sayısı</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1.</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31/3/2010</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27538</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2/7/2010</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27629</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3.</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2/12/2010</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27773</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4.</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31/12/2010</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27802</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5.</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26/3/2011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27886</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6.</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30/4/2011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27920</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7.</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23/5/2011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27942</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8.</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16/7/2011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27996</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9.</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2/11/2011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28103</w:t>
            </w:r>
          </w:p>
        </w:tc>
      </w:tr>
      <w:tr w:rsidR="003D13AB" w:rsidRPr="003D13A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13AB" w:rsidRPr="003D13AB" w:rsidRDefault="003D13AB" w:rsidP="003D13AB">
            <w:pPr>
              <w:spacing w:after="0" w:line="240" w:lineRule="exact"/>
              <w:ind w:left="397" w:hanging="340"/>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10.</w:t>
            </w:r>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proofErr w:type="gramStart"/>
            <w:r w:rsidRPr="003D13AB">
              <w:rPr>
                <w:rFonts w:ascii="Times New Roman" w:eastAsia="Times New Roman" w:hAnsi="Times New Roman" w:cs="Times New Roman"/>
                <w:sz w:val="18"/>
                <w:szCs w:val="18"/>
                <w:lang w:eastAsia="tr-TR"/>
              </w:rPr>
              <w:t>28/12/2011</w:t>
            </w:r>
            <w:proofErr w:type="gramEnd"/>
          </w:p>
        </w:tc>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3AB" w:rsidRPr="003D13AB" w:rsidRDefault="003D13AB" w:rsidP="003D13AB">
            <w:pPr>
              <w:spacing w:after="0" w:line="240" w:lineRule="exact"/>
              <w:jc w:val="center"/>
              <w:rPr>
                <w:rFonts w:ascii="Times New Roman" w:eastAsia="Times New Roman" w:hAnsi="Times New Roman" w:cs="Times New Roman"/>
                <w:sz w:val="18"/>
                <w:szCs w:val="18"/>
                <w:lang w:eastAsia="tr-TR"/>
              </w:rPr>
            </w:pPr>
            <w:r w:rsidRPr="003D13AB">
              <w:rPr>
                <w:rFonts w:ascii="Times New Roman" w:eastAsia="Times New Roman" w:hAnsi="Times New Roman" w:cs="Times New Roman"/>
                <w:sz w:val="18"/>
                <w:szCs w:val="18"/>
                <w:lang w:eastAsia="tr-TR"/>
              </w:rPr>
              <w:t>28156</w:t>
            </w:r>
          </w:p>
        </w:tc>
      </w:tr>
    </w:tbl>
    <w:p w:rsidR="003D13AB" w:rsidRDefault="003D13AB" w:rsidP="005E1582">
      <w:pPr>
        <w:rPr>
          <w:rFonts w:asciiTheme="majorHAnsi" w:hAnsiTheme="majorHAnsi" w:cs="Times New Roman"/>
          <w:b/>
          <w:u w:val="single"/>
        </w:rPr>
      </w:pPr>
    </w:p>
    <w:sectPr w:rsidR="003D13AB"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CD5" w:rsidRDefault="00120CD5" w:rsidP="00F520E2">
      <w:pPr>
        <w:spacing w:after="0" w:line="240" w:lineRule="auto"/>
      </w:pPr>
      <w:r>
        <w:separator/>
      </w:r>
    </w:p>
  </w:endnote>
  <w:endnote w:type="continuationSeparator" w:id="0">
    <w:p w:rsidR="00120CD5" w:rsidRDefault="00120CD5"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CD5" w:rsidRDefault="00120CD5" w:rsidP="00F520E2">
      <w:pPr>
        <w:spacing w:after="0" w:line="240" w:lineRule="auto"/>
      </w:pPr>
      <w:r>
        <w:separator/>
      </w:r>
    </w:p>
  </w:footnote>
  <w:footnote w:type="continuationSeparator" w:id="0">
    <w:p w:rsidR="00120CD5" w:rsidRDefault="00120CD5"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13567"/>
    <w:rsid w:val="00020FC3"/>
    <w:rsid w:val="00022066"/>
    <w:rsid w:val="00025320"/>
    <w:rsid w:val="00027424"/>
    <w:rsid w:val="00031A95"/>
    <w:rsid w:val="00037146"/>
    <w:rsid w:val="0003769D"/>
    <w:rsid w:val="00052392"/>
    <w:rsid w:val="00054A02"/>
    <w:rsid w:val="000641A0"/>
    <w:rsid w:val="0006797E"/>
    <w:rsid w:val="00072371"/>
    <w:rsid w:val="00075AA2"/>
    <w:rsid w:val="000824A8"/>
    <w:rsid w:val="00084D07"/>
    <w:rsid w:val="00086CEC"/>
    <w:rsid w:val="00087904"/>
    <w:rsid w:val="00093CA5"/>
    <w:rsid w:val="0009780A"/>
    <w:rsid w:val="000A186E"/>
    <w:rsid w:val="000A43A9"/>
    <w:rsid w:val="000C5CD9"/>
    <w:rsid w:val="000C76D1"/>
    <w:rsid w:val="000C7FC3"/>
    <w:rsid w:val="000C7FFB"/>
    <w:rsid w:val="00114901"/>
    <w:rsid w:val="00115696"/>
    <w:rsid w:val="00120CD5"/>
    <w:rsid w:val="00125F74"/>
    <w:rsid w:val="0014066C"/>
    <w:rsid w:val="00151A54"/>
    <w:rsid w:val="0016162A"/>
    <w:rsid w:val="00162897"/>
    <w:rsid w:val="00163C58"/>
    <w:rsid w:val="0017427E"/>
    <w:rsid w:val="001743BE"/>
    <w:rsid w:val="0018454D"/>
    <w:rsid w:val="00194CA3"/>
    <w:rsid w:val="001A0247"/>
    <w:rsid w:val="001A04F3"/>
    <w:rsid w:val="001B10B0"/>
    <w:rsid w:val="001B15D2"/>
    <w:rsid w:val="001B22A8"/>
    <w:rsid w:val="001C5414"/>
    <w:rsid w:val="001D3F8C"/>
    <w:rsid w:val="001D56DC"/>
    <w:rsid w:val="001F59A5"/>
    <w:rsid w:val="002039B6"/>
    <w:rsid w:val="00205955"/>
    <w:rsid w:val="002068A1"/>
    <w:rsid w:val="002201FD"/>
    <w:rsid w:val="0022355F"/>
    <w:rsid w:val="00225B70"/>
    <w:rsid w:val="00253D1E"/>
    <w:rsid w:val="00253E10"/>
    <w:rsid w:val="00264A92"/>
    <w:rsid w:val="002659CB"/>
    <w:rsid w:val="00266B2E"/>
    <w:rsid w:val="00267330"/>
    <w:rsid w:val="002739C9"/>
    <w:rsid w:val="002823E3"/>
    <w:rsid w:val="002825AD"/>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E5142"/>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D13AB"/>
    <w:rsid w:val="003E1EF7"/>
    <w:rsid w:val="003E24F2"/>
    <w:rsid w:val="003E3B2B"/>
    <w:rsid w:val="003E47B5"/>
    <w:rsid w:val="003E76FC"/>
    <w:rsid w:val="003F0732"/>
    <w:rsid w:val="003F3B72"/>
    <w:rsid w:val="004056BC"/>
    <w:rsid w:val="0042083B"/>
    <w:rsid w:val="004232F2"/>
    <w:rsid w:val="00423A3F"/>
    <w:rsid w:val="00426356"/>
    <w:rsid w:val="004354B0"/>
    <w:rsid w:val="00436459"/>
    <w:rsid w:val="00436D65"/>
    <w:rsid w:val="004406C9"/>
    <w:rsid w:val="00444025"/>
    <w:rsid w:val="00446877"/>
    <w:rsid w:val="0045064D"/>
    <w:rsid w:val="00451252"/>
    <w:rsid w:val="0045625F"/>
    <w:rsid w:val="004612B2"/>
    <w:rsid w:val="00467016"/>
    <w:rsid w:val="00472DA1"/>
    <w:rsid w:val="004807C3"/>
    <w:rsid w:val="004A6B05"/>
    <w:rsid w:val="004C5451"/>
    <w:rsid w:val="004D02A3"/>
    <w:rsid w:val="004D66C1"/>
    <w:rsid w:val="004E3B12"/>
    <w:rsid w:val="004E479F"/>
    <w:rsid w:val="004F4657"/>
    <w:rsid w:val="005149C3"/>
    <w:rsid w:val="00522918"/>
    <w:rsid w:val="00522BA4"/>
    <w:rsid w:val="005334BE"/>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3009E"/>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B39DF"/>
    <w:rsid w:val="007C1A5A"/>
    <w:rsid w:val="007C2FDC"/>
    <w:rsid w:val="007C5FE3"/>
    <w:rsid w:val="007D197D"/>
    <w:rsid w:val="007D4138"/>
    <w:rsid w:val="007D7F03"/>
    <w:rsid w:val="007E07E4"/>
    <w:rsid w:val="007E6F49"/>
    <w:rsid w:val="007F46CA"/>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8E7D4D"/>
    <w:rsid w:val="009036DC"/>
    <w:rsid w:val="0090404D"/>
    <w:rsid w:val="009105F6"/>
    <w:rsid w:val="009117F9"/>
    <w:rsid w:val="00912C94"/>
    <w:rsid w:val="00913FD7"/>
    <w:rsid w:val="00923A57"/>
    <w:rsid w:val="009342DE"/>
    <w:rsid w:val="00945163"/>
    <w:rsid w:val="00945CBE"/>
    <w:rsid w:val="0096230B"/>
    <w:rsid w:val="0096557B"/>
    <w:rsid w:val="00973A80"/>
    <w:rsid w:val="00974A77"/>
    <w:rsid w:val="00980B75"/>
    <w:rsid w:val="00997298"/>
    <w:rsid w:val="009A2833"/>
    <w:rsid w:val="009A61F8"/>
    <w:rsid w:val="009B26A8"/>
    <w:rsid w:val="009B606E"/>
    <w:rsid w:val="009E0B03"/>
    <w:rsid w:val="009E1218"/>
    <w:rsid w:val="00A07B6D"/>
    <w:rsid w:val="00A22BBA"/>
    <w:rsid w:val="00A249B6"/>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076DC"/>
    <w:rsid w:val="00B16695"/>
    <w:rsid w:val="00B24519"/>
    <w:rsid w:val="00B256B2"/>
    <w:rsid w:val="00B27B5E"/>
    <w:rsid w:val="00B3466F"/>
    <w:rsid w:val="00B43804"/>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82EFD"/>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270FA"/>
    <w:rsid w:val="00E30F24"/>
    <w:rsid w:val="00E310DF"/>
    <w:rsid w:val="00E315F1"/>
    <w:rsid w:val="00E324F9"/>
    <w:rsid w:val="00E349C0"/>
    <w:rsid w:val="00E54F03"/>
    <w:rsid w:val="00EA4C3B"/>
    <w:rsid w:val="00EB4906"/>
    <w:rsid w:val="00EF35E8"/>
    <w:rsid w:val="00F017A2"/>
    <w:rsid w:val="00F2267B"/>
    <w:rsid w:val="00F24BA0"/>
    <w:rsid w:val="00F5071C"/>
    <w:rsid w:val="00F515B2"/>
    <w:rsid w:val="00F520E2"/>
    <w:rsid w:val="00F53F28"/>
    <w:rsid w:val="00F57C4A"/>
    <w:rsid w:val="00F62AEE"/>
    <w:rsid w:val="00F70FEF"/>
    <w:rsid w:val="00F7673F"/>
    <w:rsid w:val="00F843E9"/>
    <w:rsid w:val="00F96298"/>
    <w:rsid w:val="00F97319"/>
    <w:rsid w:val="00FB1BA4"/>
    <w:rsid w:val="00FB1D70"/>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2640</Words>
  <Characters>15050</Characters>
  <Application>Microsoft Office Word</Application>
  <DocSecurity>0</DocSecurity>
  <Lines>125</Lines>
  <Paragraphs>35</Paragraphs>
  <ScaleCrop>false</ScaleCrop>
  <Company>TURMOB</Company>
  <LinksUpToDate>false</LinksUpToDate>
  <CharactersWithSpaces>17655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316</cp:revision>
  <dcterms:created xsi:type="dcterms:W3CDTF">2011-12-01T06:40:00Z</dcterms:created>
  <dcterms:modified xsi:type="dcterms:W3CDTF">2012-04-02T05:25:00Z</dcterms:modified>
</cp:coreProperties>
</file>