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627628"/>
    <w:p w:rsidR="002E5594" w:rsidRDefault="002E5594">
      <w:pPr>
        <w:rPr>
          <w:b/>
          <w:u w:val="single"/>
        </w:rPr>
      </w:pPr>
      <w:r w:rsidRPr="002E5594">
        <w:rPr>
          <w:b/>
          <w:u w:val="single"/>
        </w:rPr>
        <w:t>0</w:t>
      </w:r>
      <w:r w:rsidR="00174AB0">
        <w:rPr>
          <w:b/>
          <w:u w:val="single"/>
        </w:rPr>
        <w:t>6</w:t>
      </w:r>
      <w:r w:rsidRPr="002E5594">
        <w:rPr>
          <w:b/>
          <w:u w:val="single"/>
        </w:rPr>
        <w:t xml:space="preserve"> Nisan 2012, </w:t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r w:rsidRPr="002E5594">
        <w:rPr>
          <w:b/>
          <w:u w:val="single"/>
        </w:rPr>
        <w:tab/>
      </w:r>
      <w:proofErr w:type="gramStart"/>
      <w:r w:rsidRPr="002E5594">
        <w:rPr>
          <w:b/>
          <w:u w:val="single"/>
        </w:rPr>
        <w:t>Sayı : 282</w:t>
      </w:r>
      <w:r>
        <w:rPr>
          <w:b/>
          <w:u w:val="single"/>
        </w:rPr>
        <w:t>5</w:t>
      </w:r>
      <w:r w:rsidR="00174AB0">
        <w:rPr>
          <w:b/>
          <w:u w:val="single"/>
        </w:rPr>
        <w:t>6</w:t>
      </w:r>
      <w:proofErr w:type="gramEnd"/>
    </w:p>
    <w:p w:rsidR="003D016C" w:rsidRDefault="003D016C" w:rsidP="003D016C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ndan:</w:t>
      </w:r>
    </w:p>
    <w:p w:rsidR="003D016C" w:rsidRDefault="003D016C" w:rsidP="003D016C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GENEL TEBL</w:t>
      </w:r>
      <w:r>
        <w:rPr>
          <w:sz w:val="18"/>
          <w:szCs w:val="18"/>
        </w:rPr>
        <w:t>İĞİ</w:t>
      </w:r>
    </w:p>
    <w:p w:rsidR="003D016C" w:rsidRDefault="003D016C" w:rsidP="003D016C">
      <w:pPr>
        <w:pStyle w:val="2-OrtaBaslk"/>
        <w:spacing w:after="283" w:line="240" w:lineRule="exact"/>
        <w:rPr>
          <w:sz w:val="18"/>
          <w:szCs w:val="18"/>
        </w:rPr>
      </w:pPr>
      <w:r>
        <w:rPr>
          <w:sz w:val="18"/>
          <w:szCs w:val="18"/>
        </w:rPr>
        <w:t>(SIRA NO: 5)</w:t>
      </w:r>
    </w:p>
    <w:p w:rsidR="003D016C" w:rsidRDefault="003D016C" w:rsidP="003D016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3D016C" w:rsidRDefault="003D016C" w:rsidP="003D016C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10/12/2003</w:t>
      </w:r>
      <w:proofErr w:type="gramEnd"/>
      <w:r>
        <w:rPr>
          <w:sz w:val="18"/>
          <w:szCs w:val="18"/>
        </w:rPr>
        <w:t xml:space="preserve"> tarihli ve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netimi ve Kontrol Kanununun 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yer alan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farkl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rmalara uygun bir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kapsamdaki kamu idarelerinin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verilerinin derlenmesindeki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veri derleme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recindeki yetki, sorumluluk ve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52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listede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netim, mahalli idareler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birimler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tabidir.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Muhasebe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Muhasebat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say2000i sistemi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ten kamu idareleri ile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verilerini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belirledi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ntemi kullanarak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aktaran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idareler sadece 5, 13, 14 ve 16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maddelere tabidir.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,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ve Kontrol Kanununun 30, 52, 53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ici 18 inci maddeleri ile </w:t>
      </w:r>
      <w:proofErr w:type="gramStart"/>
      <w:r>
        <w:rPr>
          <w:sz w:val="18"/>
          <w:szCs w:val="18"/>
        </w:rPr>
        <w:t>3/5/2005</w:t>
      </w:r>
      <w:proofErr w:type="gramEnd"/>
      <w:r>
        <w:rPr>
          <w:sz w:val="18"/>
          <w:szCs w:val="18"/>
        </w:rPr>
        <w:t xml:space="preserve"> tarihli ve 2005/8844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konulan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Muhasebe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137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ve 10/3/2006 tarihli ve 26104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Mahalli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dareler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 Muhasebe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441 inci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nda;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(Muhasebat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),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Birim: 2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listede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idareleri,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: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belirlenen ve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listedeki birimlerden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revlisi: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hilindeki birimlere ait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muhasebe birimi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derlenmesini ve incelenmesini koordine etmekle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muhasebe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Kamu Harcama ve Muhasebe Bili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Sistemi (KBS): Verilerin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sistemi,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Kanun: 5018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 ve Kontrol Kanununu,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Mahalli idare birlikleri: </w:t>
      </w:r>
      <w:proofErr w:type="gramStart"/>
      <w:r>
        <w:rPr>
          <w:sz w:val="18"/>
          <w:szCs w:val="18"/>
        </w:rPr>
        <w:t>26/5/2005</w:t>
      </w:r>
      <w:proofErr w:type="gramEnd"/>
      <w:r>
        <w:rPr>
          <w:sz w:val="18"/>
          <w:szCs w:val="18"/>
        </w:rPr>
        <w:t xml:space="preserve"> tarihli ve 5355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Mahalli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 Birlikleri Kanunu ve 8/3/2011 tarihli ve 6172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Sulama Birlikleri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birlikleri,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Muhasebe birimi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revlisi: Birimlere ait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derlenmesini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lamak, muhasebe tekni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kontrol etmek ve gerekli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zeltmeleri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 merkezinde muhasebe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nerisiyle Defterdar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uzman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il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elerde malm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) Sosyal tesis: </w:t>
      </w:r>
      <w:proofErr w:type="gramStart"/>
      <w:r>
        <w:rPr>
          <w:sz w:val="18"/>
          <w:szCs w:val="18"/>
        </w:rPr>
        <w:t>4/1/1961</w:t>
      </w:r>
      <w:proofErr w:type="gramEnd"/>
      <w:r>
        <w:rPr>
          <w:sz w:val="18"/>
          <w:szCs w:val="18"/>
        </w:rPr>
        <w:t xml:space="preserve"> tarihli ve 211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Silahl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Kuvvetleri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 Hizmet Kanunu, 4/6/1937 tarihli ve 3201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Emniyet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 ile 25/8/2011 tarihli ve 652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Mill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olanlar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listede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kamu idarelerince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dinlenme ve spor tesisi, misafirhane, kre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anaokulu, yemekhane, orduevi, askeri gazino, 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 gazinosu, dinlenme kamp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askeri kantin,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ocuk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mevi,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retmenevi,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 xml:space="preserve">retmen </w:t>
      </w:r>
      <w:proofErr w:type="spellStart"/>
      <w:r>
        <w:rPr>
          <w:sz w:val="18"/>
          <w:szCs w:val="18"/>
        </w:rPr>
        <w:t>lok</w:t>
      </w:r>
      <w:r>
        <w:rPr>
          <w:sz w:val="18"/>
          <w:szCs w:val="18"/>
        </w:rPr>
        <w:t>â</w:t>
      </w:r>
      <w:r>
        <w:rPr>
          <w:sz w:val="18"/>
          <w:szCs w:val="18"/>
        </w:rPr>
        <w:t>li</w:t>
      </w:r>
      <w:proofErr w:type="spellEnd"/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retmen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merkezi, tatil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polis moral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 merkezi, polisevi, polis </w:t>
      </w:r>
      <w:proofErr w:type="spellStart"/>
      <w:r>
        <w:rPr>
          <w:sz w:val="18"/>
          <w:szCs w:val="18"/>
        </w:rPr>
        <w:t>misafirevi</w:t>
      </w:r>
      <w:proofErr w:type="spellEnd"/>
      <w:r>
        <w:rPr>
          <w:sz w:val="18"/>
          <w:szCs w:val="18"/>
        </w:rPr>
        <w:t xml:space="preserve"> ve lokali,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dinlenme kamp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termal tesis ve benzeri sosyal tesisleri,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3D016C" w:rsidRDefault="003D016C" w:rsidP="003D016C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3D016C" w:rsidRDefault="003D016C" w:rsidP="003D016C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Genel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netim sekt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 kapsam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belirlenmesinin esaslar</w:t>
      </w:r>
      <w:r>
        <w:rPr>
          <w:b/>
          <w:sz w:val="18"/>
          <w:szCs w:val="18"/>
        </w:rPr>
        <w:t>ı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belirlenmesinde,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kamu idaresinin;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Kurumsal birim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Faaliyetlerini ekonominin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rlerinden zorunlu ve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olarak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vergi ve benzeri kaynaklarla finanse edip etmedi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c) Faaliyetlerinin gelirin yeniden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Kamusal mal veya hizmet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retip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netime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birimlerce kontrol ve finanse edilip edilmedi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ve fiyat politikalar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birimler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belirlenip belirlenmedi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Piyasa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mal ve hizmet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reten birimlerin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ekonomik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fiyattan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satmad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Piyasa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mal ve hizmet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reten ve ekonomik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fiyat uygulayan birimlerin sat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gelirlerinin cari giderlerinin %50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 veya daha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hususlar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esas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Mal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verilerin derlenme bi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imi ve kapsam</w:t>
      </w:r>
      <w:r>
        <w:rPr>
          <w:b/>
          <w:sz w:val="18"/>
          <w:szCs w:val="18"/>
        </w:rPr>
        <w:t>ı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Birimler, hesap bilgilerine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lerini </w:t>
      </w:r>
      <w:r>
        <w:rPr>
          <w:sz w:val="18"/>
          <w:szCs w:val="18"/>
          <w:u w:val="single"/>
        </w:rPr>
        <w:t>www.</w:t>
      </w:r>
      <w:proofErr w:type="spellStart"/>
      <w:r>
        <w:rPr>
          <w:sz w:val="18"/>
          <w:szCs w:val="18"/>
          <w:u w:val="single"/>
        </w:rPr>
        <w:t>kbs</w:t>
      </w:r>
      <w:proofErr w:type="spellEnd"/>
      <w:r>
        <w:rPr>
          <w:sz w:val="18"/>
          <w:szCs w:val="18"/>
          <w:u w:val="single"/>
        </w:rPr>
        <w:t>.gov.tr</w:t>
      </w:r>
      <w:r>
        <w:rPr>
          <w:sz w:val="18"/>
          <w:szCs w:val="18"/>
        </w:rPr>
        <w:t xml:space="preserve"> internet adresi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yapacaklard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Birimlerin sisteme girecekleri hesap bilgileri,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idareleri, belediyeler ve mahalli idare birlikleri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Mahalli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dareler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 Muhasebe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ile Mahalli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dareler Detayl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mizan bilgileri ve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tahminleri ile finansman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ekonomik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tablosuna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birimler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ise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Muhasebe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Detayl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mizan bilgilerinden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lik Hizmetleri ve Spor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 </w:t>
      </w:r>
      <w:proofErr w:type="gramStart"/>
      <w:r>
        <w:rPr>
          <w:sz w:val="18"/>
          <w:szCs w:val="18"/>
        </w:rPr>
        <w:t>konsolide</w:t>
      </w:r>
      <w:proofErr w:type="gramEnd"/>
      <w:r>
        <w:rPr>
          <w:sz w:val="18"/>
          <w:szCs w:val="18"/>
        </w:rPr>
        <w:t xml:space="preserve"> hesap bilgileri Spor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proofErr w:type="spellStart"/>
      <w:r>
        <w:rPr>
          <w:sz w:val="18"/>
          <w:szCs w:val="18"/>
        </w:rPr>
        <w:t>KBS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girilir.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Sosyal tesislerin hesap bilgileri, ilgili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kamu idaresine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sosyal tesisler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proofErr w:type="gramStart"/>
      <w:r>
        <w:rPr>
          <w:sz w:val="18"/>
          <w:szCs w:val="18"/>
        </w:rPr>
        <w:t>konsolide</w:t>
      </w:r>
      <w:proofErr w:type="gramEnd"/>
      <w:r>
        <w:rPr>
          <w:sz w:val="18"/>
          <w:szCs w:val="18"/>
        </w:rPr>
        <w:t xml:space="preserve">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Detayl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olarak,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k/kamu idaresinin ilgili birimi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proofErr w:type="spellStart"/>
      <w:r>
        <w:rPr>
          <w:sz w:val="18"/>
          <w:szCs w:val="18"/>
        </w:rPr>
        <w:t>KBS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girilir. Birimlerce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verilerin il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zeyinde </w:t>
      </w:r>
      <w:proofErr w:type="gramStart"/>
      <w:r>
        <w:rPr>
          <w:sz w:val="18"/>
          <w:szCs w:val="18"/>
        </w:rPr>
        <w:t>konsolide</w:t>
      </w:r>
      <w:proofErr w:type="gramEnd"/>
      <w:r>
        <w:rPr>
          <w:sz w:val="18"/>
          <w:szCs w:val="18"/>
        </w:rPr>
        <w:t xml:space="preserve"> edilerek girilmesine izin verilebilir.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Veri giri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d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nemleri ve birimlerce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idareleri, belediyeler ve mahalli idare birliklerince,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turulan </w:t>
      </w:r>
      <w:proofErr w:type="gramStart"/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latif</w:t>
      </w:r>
      <w:proofErr w:type="gramEnd"/>
      <w:r>
        <w:rPr>
          <w:sz w:val="18"/>
          <w:szCs w:val="18"/>
        </w:rPr>
        <w:t xml:space="preserve"> verilerin takip eden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sonuna kadar,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(Ocak-Aral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nemi)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latif verilerin ise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takip eden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ubat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sonuna kadar </w:t>
      </w:r>
      <w:proofErr w:type="spellStart"/>
      <w:r>
        <w:rPr>
          <w:sz w:val="18"/>
          <w:szCs w:val="18"/>
        </w:rPr>
        <w:t>KBS'ye</w:t>
      </w:r>
      <w:proofErr w:type="spellEnd"/>
      <w:r>
        <w:rPr>
          <w:sz w:val="18"/>
          <w:szCs w:val="18"/>
        </w:rPr>
        <w:t xml:space="preserve">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idareleri, belediyeler ve mahalli idare birlikleri haricinde kalan birimlerce, Ocak-Mart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nemi, Ocak-Haziran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ve Ocak-Eyl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nemi </w:t>
      </w:r>
      <w:proofErr w:type="gramStart"/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latif</w:t>
      </w:r>
      <w:proofErr w:type="gramEnd"/>
      <w:r>
        <w:rPr>
          <w:sz w:val="18"/>
          <w:szCs w:val="18"/>
        </w:rPr>
        <w:t xml:space="preserve"> verilerinin,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 takip eden ay sonuna kadar (Nisan, Temmuz ve Ekim);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(Ocak-Aral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nemi)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latif verilerin ise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takip eden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ubat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sonuna kadar </w:t>
      </w:r>
      <w:proofErr w:type="spellStart"/>
      <w:r>
        <w:rPr>
          <w:sz w:val="18"/>
          <w:szCs w:val="18"/>
        </w:rPr>
        <w:t>KBS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idareleri, belediyeler ve mahalli idare birliklerince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ertesi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ve izleyen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ait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gelir-gider tahminleri ile finansman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ekonomik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tablosuna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 Eyl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sonuna kadar </w:t>
      </w:r>
      <w:proofErr w:type="spellStart"/>
      <w:r>
        <w:rPr>
          <w:sz w:val="18"/>
          <w:szCs w:val="18"/>
        </w:rPr>
        <w:t>KBS'ye</w:t>
      </w:r>
      <w:proofErr w:type="spellEnd"/>
      <w:r>
        <w:rPr>
          <w:sz w:val="18"/>
          <w:szCs w:val="18"/>
        </w:rPr>
        <w:t xml:space="preserve"> girilir.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leri, KBS sistemine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yetkisi verilen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revlilerince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uygulama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lavuzu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(5) </w:t>
      </w:r>
      <w:proofErr w:type="spellStart"/>
      <w:r>
        <w:rPr>
          <w:sz w:val="18"/>
          <w:szCs w:val="18"/>
        </w:rPr>
        <w:t>KBS'ye</w:t>
      </w:r>
      <w:proofErr w:type="spellEnd"/>
      <w:r>
        <w:rPr>
          <w:sz w:val="18"/>
          <w:szCs w:val="18"/>
        </w:rPr>
        <w:t xml:space="preserve">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yetkisi ile ilgili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ifre talepleri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idareleri, belediyeler ve mahalli idare birliklerince ilgisine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muhasebe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 ve malm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klerine;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niversite sosyal tesislerince ilgili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niversitenin muhasebe birimine, kalk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ajanslar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muhasebe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kalan merkezi Ankara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 bulunan birimlerce ise ilgili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merkez muhasebe birimlerine bildirilir. </w:t>
      </w:r>
      <w:proofErr w:type="gramEnd"/>
      <w:r>
        <w:rPr>
          <w:sz w:val="18"/>
          <w:szCs w:val="18"/>
        </w:rPr>
        <w:t xml:space="preserve">Sistem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gerekli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ilgili muhasebe birimlerince yerine getirilir.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konusu birimler,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revinden herhangi bir nedenle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ve yerine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sonraki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muhasebe birimlerine bildirirler.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Birimler, </w:t>
      </w:r>
      <w:proofErr w:type="spellStart"/>
      <w:r>
        <w:rPr>
          <w:sz w:val="18"/>
          <w:szCs w:val="18"/>
        </w:rPr>
        <w:t>KBS'ye</w:t>
      </w:r>
      <w:proofErr w:type="spellEnd"/>
      <w:r>
        <w:rPr>
          <w:sz w:val="18"/>
          <w:szCs w:val="18"/>
        </w:rPr>
        <w:t xml:space="preserve">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sorunlar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muhasebe birimi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revlisine veya il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revlisine, e-posta yoluyla ise </w:t>
      </w:r>
      <w:r>
        <w:rPr>
          <w:sz w:val="18"/>
          <w:szCs w:val="18"/>
          <w:u w:val="single"/>
        </w:rPr>
        <w:t xml:space="preserve">genelyonetim@muhasebat.gov.tr </w:t>
      </w:r>
      <w:r>
        <w:rPr>
          <w:sz w:val="18"/>
          <w:szCs w:val="18"/>
        </w:rPr>
        <w:t>adresine bildirirler.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Valiliklerce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ldeki birimlerin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verilerinin derlenmesi, Valiliklerin koordinasyonunda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 Valilerce bir vali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koordine etmekle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revlendirilir.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birimler ile yaz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Valilikler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yaparlar.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(2) Koordinat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vali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defterdar ve il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revlisi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ayda bir defa toplanarak ildeki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durumunu,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talep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istinaden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idari para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uygulanmad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veri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ndermeyen birimlerle ilgili olarak birimlere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faaliyetlerine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bilgileri,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gerekli kurumsal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turamayan birimlerle ilgili olarak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tedbirleri ve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istatistiklerinin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nemi konusunda birimlerin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bilgilendirme faaliyetlerini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erlendirerek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belirlerler ve durumu tutanak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rlar. </w:t>
      </w:r>
      <w:proofErr w:type="gramEnd"/>
      <w:r>
        <w:rPr>
          <w:sz w:val="18"/>
          <w:szCs w:val="18"/>
        </w:rPr>
        <w:t>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istenmesi veya koordinat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vali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faaliyetler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rapor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zenlenerek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Defterdarl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klarca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istatistiklerin mevzuatta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erikte derlenmesi ve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kanuni bir zorunluluk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undan, il defterdar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veri derlenmesi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lemlerine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 verilir ve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verilerin </w:t>
      </w:r>
      <w:proofErr w:type="spellStart"/>
      <w:r>
        <w:rPr>
          <w:sz w:val="18"/>
          <w:szCs w:val="18"/>
        </w:rPr>
        <w:t>KBS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muhasebe sisteminin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KBS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olarak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ve muhasebe birimi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revlilerinin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belirtilen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getirip getirmedikleri takip edilir.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 kontrol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revlilerince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revlileri, il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hilindeki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idareleri, belediyeler ve mahalli idare birlikleri, sosyal tesisler, kalk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 ajanslar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lan Kurumu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ile belediye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idareleri ve belediye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irketlerine ait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KBS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zerinden 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olarak takip ederler.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revlileri, verilerin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proofErr w:type="spellStart"/>
      <w:r>
        <w:rPr>
          <w:sz w:val="18"/>
          <w:szCs w:val="18"/>
        </w:rPr>
        <w:t>KBS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girilmesini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muhasebe birimi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revlileri ile koordineli olarak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rlar.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revlileri, il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hilindeki birimler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proofErr w:type="spellStart"/>
      <w:r>
        <w:rPr>
          <w:sz w:val="18"/>
          <w:szCs w:val="18"/>
        </w:rPr>
        <w:t>KBS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girilen verilerin, muhasebe birimi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revlilerince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inceleme rehberine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kontrol edilip edilmedi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takip ederler.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revlileri, il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hilinde yeni kurulan,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nan,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en,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en ya da kapanan birimlerin KBS sisteminde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ncellenmesine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olarak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bilgi verirler.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faaliyetleri, muhasebe birimi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revlilerinden gelen bilgileri de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vali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koordinasyonunda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komisyonun bilgisine sunarlar.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Muhasebe birimi kontrol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revlilerince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Muhasebe birimi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revlileri, sorumluluk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birimlere ait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(2) Muhasebe birimi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revlileri, il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idareleri, belediyeler ve mahalli idare birliklerince </w:t>
      </w:r>
      <w:proofErr w:type="spellStart"/>
      <w:r>
        <w:rPr>
          <w:sz w:val="18"/>
          <w:szCs w:val="18"/>
        </w:rPr>
        <w:t>KBS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girilen verilerin Mahalli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dareler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 Muhasebe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ile Mahalli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dareler Detayl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birimlerin verilerinin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Muhasebe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ile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Detayl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 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inceleme rehberine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kontrol ederler.</w:t>
      </w:r>
      <w:proofErr w:type="gramEnd"/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Muhasebe birimi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revlileri, sorumluluk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birimlerden verilerini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relerde </w:t>
      </w:r>
      <w:proofErr w:type="spellStart"/>
      <w:r>
        <w:rPr>
          <w:sz w:val="18"/>
          <w:szCs w:val="18"/>
        </w:rPr>
        <w:t>KBS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girmeyenleri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 ve buna ra</w:t>
      </w:r>
      <w:r>
        <w:rPr>
          <w:sz w:val="18"/>
          <w:szCs w:val="18"/>
        </w:rPr>
        <w:t>ğ</w:t>
      </w:r>
      <w:r>
        <w:rPr>
          <w:sz w:val="18"/>
          <w:szCs w:val="18"/>
        </w:rPr>
        <w:t>men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yapmayan birimleri il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revlisine bildirirler.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Muhasebe birimi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revlileri, veri derleme ve inceleme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faaliyetleri il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revlisine raporlar.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Bakanl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lacak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Hesap bilgilerinin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proofErr w:type="spellStart"/>
      <w:r>
        <w:rPr>
          <w:sz w:val="18"/>
          <w:szCs w:val="18"/>
        </w:rPr>
        <w:t>KBS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girilmesinin takibi ve gerekli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genel koordinasyonu,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ve muhasebe birimi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revlerini yerine getirirken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sorunlar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gerekli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Birimlerce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 teknik sorunlara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olarak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deki listede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kurumlar ile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hesap bilgilerinin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ru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ekilde </w:t>
      </w:r>
      <w:proofErr w:type="spellStart"/>
      <w:r>
        <w:rPr>
          <w:sz w:val="18"/>
          <w:szCs w:val="18"/>
        </w:rPr>
        <w:t>KBS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girilmesinin takibi ve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Birimlerin mizanlar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muhasebe tekni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uygunluk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inceleme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tespit edilen hatalar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yla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zeltilmesi,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faaliyetleri</w:t>
      </w:r>
      <w:proofErr w:type="gramEnd"/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Birimlerin muhasebe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 ve mal</w:t>
      </w:r>
      <w:r>
        <w:rPr>
          <w:b/>
          <w:sz w:val="18"/>
          <w:szCs w:val="18"/>
        </w:rPr>
        <w:t>î</w:t>
      </w:r>
      <w:r>
        <w:rPr>
          <w:b/>
          <w:sz w:val="18"/>
          <w:szCs w:val="18"/>
        </w:rPr>
        <w:t xml:space="preserve"> tablolar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denetimi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idarelere ait hesaplar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mevzuatla belirlenen ilke, esas ve usullere uygun olarak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birimlerden zaman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veri elde edilmesi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klarca,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birimlerin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muhasebe tekni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uygunluk ve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tablolardaki verilerin </w:t>
      </w:r>
      <w:proofErr w:type="spellStart"/>
      <w:r>
        <w:rPr>
          <w:sz w:val="18"/>
          <w:szCs w:val="18"/>
        </w:rPr>
        <w:t>KBS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incelenmesi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denetim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edilir.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denetimler sonucunda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kan hata ve noksanl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giderilmesi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birimlerin muhasebe yetkililerine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olarak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klarca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gerekli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tedbirler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 ve muhasebe birimi kontrol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revlilerinin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belirtilen sorumluluklar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getirip getirmedikleri merkez ve il denetim programlar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edilir.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Hesap bilgilerinin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resinde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nderilmemesi halinde uygulanacak yapt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Kanunun 53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maddesinin son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kamu idarelerinden,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istatistiklerine esas verilerini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ndermeyenlere,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bir ay 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verilen 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sonunda da verilerin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nderilmemesi halinde ise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zerine, ilgili kamu idaresinin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hizmetler birimi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ile muhasebe yetkilisine,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denek, zam ve tazminat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bir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net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 toplam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idari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proofErr w:type="gramEnd"/>
      <w:r>
        <w:rPr>
          <w:sz w:val="18"/>
          <w:szCs w:val="18"/>
        </w:rPr>
        <w:t>Kanunda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idari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bilgi verme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ortadan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ve idari para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Kanunun 73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tahsil edilece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bulunmaktad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Kanunun 73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ise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Bu Kanunda belirtilen para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ilgili kamu idaresinin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verilir. Para cezalar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karar verilmesini izleyen </w:t>
      </w:r>
      <w:proofErr w:type="gramStart"/>
      <w:r>
        <w:rPr>
          <w:sz w:val="18"/>
          <w:szCs w:val="18"/>
        </w:rPr>
        <w:t>ay ba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ndan</w:t>
      </w:r>
      <w:proofErr w:type="gramEnd"/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ve herhangi bir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almaya gerek </w:t>
      </w:r>
      <w:r>
        <w:rPr>
          <w:sz w:val="18"/>
          <w:szCs w:val="18"/>
        </w:rPr>
        <w:lastRenderedPageBreak/>
        <w:t>kalmaks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 ilgililerine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denek, zam, tazminat d</w:t>
      </w:r>
      <w:r>
        <w:rPr>
          <w:sz w:val="18"/>
          <w:szCs w:val="18"/>
        </w:rPr>
        <w:t>â</w:t>
      </w:r>
      <w:r>
        <w:rPr>
          <w:sz w:val="18"/>
          <w:szCs w:val="18"/>
        </w:rPr>
        <w:t>hil bir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net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rtte biri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kesilerek tahsil olunur.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yer almaktad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evesinde, hesap bilgilerini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hesap bilgilerinin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mizan format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ve/veya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klarca tespit olunanlara,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belirlenen veri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bitiminden itibaren 1 ay 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verilir ve ilgili birimlere bildirilir. 1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bitiminde de hesap bilgilerini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ndermeyen birimlere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idari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sonucundan bilgi verilmesi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veya Defterdarl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talebi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a, birimlerin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neticilerinden istenir.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 idari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uygulanmayaca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hususunda takdir yetkisine sahip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ildir. Bu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evede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hizmetler birimi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 ile muhasebe yetkilisine verilmesi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istenen idari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vermek, Kanunun ilgili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tahsil etmek ve sonucundan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bilgi vermekle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rler.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 politikas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, gelir ve giderlerin izlenmesi amac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yla istenecek veriler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Kanunun 30 uncu maddesinin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gelir ve giderleri ile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tespitinin ve takibinin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kamu idareleri ve merkezi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esinden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alan kurum,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vak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f ve dernekler ile benzeri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llerin; gelir ve gider tahminlerini,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tablolar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birbirleriyle olan bor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alacak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personel giderlerine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bilgi ve belgeleri, istenilmesi halinde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vermek zorunda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Mahalli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dareler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ve Muhasebe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belediye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idareleri,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belirlenen mizan format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nemlerde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turulan </w:t>
      </w:r>
      <w:proofErr w:type="gramStart"/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latif</w:t>
      </w:r>
      <w:proofErr w:type="gramEnd"/>
      <w:r>
        <w:rPr>
          <w:sz w:val="18"/>
          <w:szCs w:val="18"/>
        </w:rPr>
        <w:t xml:space="preserve"> verilerini takip eden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sonuna kadar,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tamam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(Ocak-Aral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nemi)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latif verilerini ise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takip eden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ubat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sonuna kadar </w:t>
      </w:r>
      <w:proofErr w:type="spellStart"/>
      <w:r>
        <w:rPr>
          <w:sz w:val="18"/>
          <w:szCs w:val="18"/>
        </w:rPr>
        <w:t>KBS'ye</w:t>
      </w:r>
      <w:proofErr w:type="spellEnd"/>
      <w:r>
        <w:rPr>
          <w:sz w:val="18"/>
          <w:szCs w:val="18"/>
        </w:rPr>
        <w:t xml:space="preserve"> girerler. </w:t>
      </w:r>
      <w:proofErr w:type="gramStart"/>
      <w:r>
        <w:rPr>
          <w:sz w:val="18"/>
          <w:szCs w:val="18"/>
        </w:rPr>
        <w:t>10/7/2004</w:t>
      </w:r>
      <w:proofErr w:type="gramEnd"/>
      <w:r>
        <w:rPr>
          <w:sz w:val="18"/>
          <w:szCs w:val="18"/>
        </w:rPr>
        <w:t xml:space="preserve"> tarihli ve 5216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ehir Belediyesi Kanununun 26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 ile 3/7/2005 tarihli ve 5393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Belediye Kanununun 70 inci maddesi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ndaki belediye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irketlerine ait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veriler ise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formatta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belediye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proofErr w:type="spellStart"/>
      <w:r>
        <w:rPr>
          <w:sz w:val="18"/>
          <w:szCs w:val="18"/>
        </w:rPr>
        <w:t>KBS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girilir.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Kamu iktisadi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ebb</w:t>
      </w:r>
      <w:r>
        <w:rPr>
          <w:sz w:val="18"/>
          <w:szCs w:val="18"/>
        </w:rPr>
        <w:t>ü</w:t>
      </w:r>
      <w:r>
        <w:rPr>
          <w:sz w:val="18"/>
          <w:szCs w:val="18"/>
        </w:rPr>
        <w:t>slerinin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verileri ise Hazine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birle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tirilerek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nemlerde Bakanl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verilir.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Genel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netim sekt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 kapsam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zden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irilmesi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ile belirlenen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tarihten itibaren her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bir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incelenir ve ilgili idarelerin de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suretiyle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kapsam yeniden belirlenir.</w:t>
      </w:r>
    </w:p>
    <w:p w:rsidR="003D016C" w:rsidRDefault="003D016C" w:rsidP="003D016C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3D016C" w:rsidRDefault="003D016C" w:rsidP="003D016C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tebli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ler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25/10/2008</w:t>
      </w:r>
      <w:proofErr w:type="gramEnd"/>
      <w:r>
        <w:rPr>
          <w:sz w:val="18"/>
          <w:szCs w:val="18"/>
        </w:rPr>
        <w:t xml:space="preserve"> tarihli ve 27035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statistikleri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(Mahalli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dareler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Verileri) (S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No: 1),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proofErr w:type="gramStart"/>
      <w:r>
        <w:rPr>
          <w:sz w:val="18"/>
          <w:szCs w:val="18"/>
        </w:rPr>
        <w:t>4/2/2009</w:t>
      </w:r>
      <w:proofErr w:type="gramEnd"/>
      <w:r>
        <w:rPr>
          <w:sz w:val="18"/>
          <w:szCs w:val="18"/>
        </w:rPr>
        <w:t xml:space="preserve"> tarihli ve 27131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statistikleri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) (S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No: 2),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gramStart"/>
      <w:r>
        <w:rPr>
          <w:sz w:val="18"/>
          <w:szCs w:val="18"/>
        </w:rPr>
        <w:t>19/9/2009</w:t>
      </w:r>
      <w:proofErr w:type="gramEnd"/>
      <w:r>
        <w:rPr>
          <w:sz w:val="18"/>
          <w:szCs w:val="18"/>
        </w:rPr>
        <w:t xml:space="preserve"> tarihli ve 27354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statistikleri Genel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(Genel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lk Defa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Kamu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darelerinin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Verileri) (S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 No: 4),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</w:t>
      </w:r>
      <w:proofErr w:type="gramEnd"/>
      <w:r>
        <w:rPr>
          <w:sz w:val="18"/>
          <w:szCs w:val="18"/>
        </w:rPr>
        <w:t xml:space="preserve">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1/1/2012</w:t>
      </w:r>
      <w:proofErr w:type="gramEnd"/>
      <w:r>
        <w:rPr>
          <w:sz w:val="18"/>
          <w:szCs w:val="18"/>
        </w:rPr>
        <w:t xml:space="preserve"> tarihinden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3D016C" w:rsidRDefault="003D016C" w:rsidP="003D016C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3D016C" w:rsidRDefault="003D016C" w:rsidP="003D016C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Maliye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3D016C" w:rsidRDefault="003D016C" w:rsidP="003D016C">
      <w:pPr>
        <w:pStyle w:val="NormalWeb"/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:rsidR="003D016C" w:rsidRDefault="003D016C" w:rsidP="003D016C">
      <w:pPr>
        <w:pStyle w:val="nospacing"/>
        <w:spacing w:line="240" w:lineRule="exact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EK-1</w:t>
      </w:r>
    </w:p>
    <w:p w:rsidR="003D016C" w:rsidRDefault="003D016C" w:rsidP="003D016C">
      <w:pPr>
        <w:pStyle w:val="nospacing"/>
        <w:spacing w:line="240" w:lineRule="exact"/>
        <w:rPr>
          <w:b/>
          <w:sz w:val="18"/>
          <w:szCs w:val="18"/>
          <w:u w:val="single"/>
        </w:rPr>
      </w:pPr>
    </w:p>
    <w:p w:rsidR="003D016C" w:rsidRDefault="003D016C" w:rsidP="003D016C">
      <w:pPr>
        <w:pStyle w:val="nospacing"/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GENEL YÖNETİM SEKTÖRÜ</w:t>
      </w:r>
    </w:p>
    <w:p w:rsidR="003D016C" w:rsidRDefault="003D016C" w:rsidP="003D016C">
      <w:pPr>
        <w:pStyle w:val="nospacing"/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I- MERKEZİ YÖNETİM ALT SEKTÖRÜ</w:t>
      </w:r>
    </w:p>
    <w:p w:rsidR="003D016C" w:rsidRDefault="003D016C" w:rsidP="003D016C">
      <w:pPr>
        <w:pStyle w:val="nospacing"/>
        <w:tabs>
          <w:tab w:val="left" w:pos="186"/>
        </w:tabs>
        <w:spacing w:line="240" w:lineRule="exact"/>
        <w:ind w:left="471" w:hanging="471"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A-</w:t>
      </w:r>
      <w:r>
        <w:rPr>
          <w:b/>
          <w:sz w:val="18"/>
          <w:szCs w:val="18"/>
        </w:rPr>
        <w:tab/>
        <w:t>Bütçe İçi Kurumlar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lastRenderedPageBreak/>
        <w:t>Türkiye Büyük Millet Meclisi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Cumhurbaşkanlığı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Başbakanlık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Anayasa Mahkemesi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Yargıtay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Danıştay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Hâkimler ve Savcılar Yüksek Kurulu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Sayıştay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Adalet Bakanlığı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Millî Savunma Bakanlığı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İçişleri Bakanlığı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Dışişleri Bakanlığı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Maliye Bakanlığı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Millî Eğitim Bakanlığı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Sağlık Bakanlığı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Ulaştırma, Denizcilik ve Haberleşme Bakanlığı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Çalışma ve Sosyal Güvenlik Bakanlığı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Enerji ve </w:t>
      </w:r>
      <w:proofErr w:type="spellStart"/>
      <w:r>
        <w:rPr>
          <w:sz w:val="18"/>
          <w:szCs w:val="18"/>
        </w:rPr>
        <w:t>Tabiî</w:t>
      </w:r>
      <w:proofErr w:type="spellEnd"/>
      <w:r>
        <w:rPr>
          <w:sz w:val="18"/>
          <w:szCs w:val="18"/>
        </w:rPr>
        <w:t xml:space="preserve"> Kaynaklar Bakanlığı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Kültür ve Turizm Bakanlığı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Aile ve Sosyal Politikalar Bakanlığı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Avrupa Birliği Bakanlığı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Bilim, Sanayi ve Teknoloji Bakanlığı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Çevre ve Şehircilik Bakanlığı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Ekonomi Bakanlığı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Gençlik ve Spor Bakanlığı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Gıda, Tarım ve Hayvancılık Bakanlığı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Gümrük ve Ticaret Bakanlığı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Kalkınma Bakanlığı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Orman ve Su İşleri Bakanlığı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Millî Güvenlik Kurulu Genel Sekreterliği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Millî İstihbarat Teşkilatı Müsteşarlığı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Jandarma Genel Komutanlığı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Sahil Güvenlik Komutanlığı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Emniyet Genel Müdürlüğü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Diyanet İşleri Başkanlığı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Hazine Müsteşarlığı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Kamu Düzeni ve Güvenliği Müsteşarlığı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Devlet Personel Başkanlığı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Türkiye İstatistik Kurumu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Afet ve Acil Durum Yönetimi Başkanlığı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Gelir İdaresi Başkanlığı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Tapu ve Kadastro Genel Müdürlüğü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Meteoroloji Genel Müdürlüğü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Basın-Yayın ve Enformasyon Genel Müdürlüğü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Türkiye Halk Sağlığı Kurumu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Türkiye Kamu Hastaneleri Kurumu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Yükseköğretim Kurulu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Ölçme, Seçme ve Yerleştirme Merkezi Başkanlığı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İstanbul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İstanbul Teknik Üniversitesi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Ankara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Karadeniz Teknik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Ege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Atatürk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Orta Doğu Teknik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Hacettepe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Boğaziçi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Dicle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lastRenderedPageBreak/>
        <w:t>Çukurova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Anadolu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Cumhuriyet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İnönü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Fırat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proofErr w:type="spellStart"/>
      <w:r>
        <w:rPr>
          <w:sz w:val="18"/>
          <w:szCs w:val="18"/>
        </w:rPr>
        <w:t>Ondokuz</w:t>
      </w:r>
      <w:proofErr w:type="spellEnd"/>
      <w:r>
        <w:rPr>
          <w:sz w:val="18"/>
          <w:szCs w:val="18"/>
        </w:rPr>
        <w:t xml:space="preserve"> Mayıs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Selçuk Üniversitesi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Uludağ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Erciyes Üniversitesi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Akdeniz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Dokuz Eylül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Gazi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Marmara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Mimar Sinan Güzel Sanatlar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Trakya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Yıldız Teknik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Yüzüncü Yıl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Gaziantep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Abant İzzet Baysal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Adnan Menderes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Afyon Kocatepe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Balıkesir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Celal Bayar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Çanakkale </w:t>
      </w:r>
      <w:proofErr w:type="spellStart"/>
      <w:r>
        <w:rPr>
          <w:sz w:val="18"/>
          <w:szCs w:val="18"/>
        </w:rPr>
        <w:t>Onsekiz</w:t>
      </w:r>
      <w:proofErr w:type="spellEnd"/>
      <w:r>
        <w:rPr>
          <w:sz w:val="18"/>
          <w:szCs w:val="18"/>
        </w:rPr>
        <w:t xml:space="preserve"> Mart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Dumlupınar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Gaziosmanpaşa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Gebze Yüksek Teknoloji Enstitüsü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Harran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İzmir Yüksek Teknoloji Enstitüsü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Kafkas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Kahramanmaraş Sütçü İmam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Kırıkkale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Kocaeli Üniversitesi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Mersin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Muğla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Mustafa Kemal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Niğde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Pamukkale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Sakarya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Süleyman Demirel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Zonguldak Karaelmas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Eskişehir Osmangazi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Galatasaray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Ahi </w:t>
      </w:r>
      <w:proofErr w:type="spellStart"/>
      <w:r>
        <w:rPr>
          <w:sz w:val="18"/>
          <w:szCs w:val="18"/>
        </w:rPr>
        <w:t>Evran</w:t>
      </w:r>
      <w:proofErr w:type="spellEnd"/>
      <w:r>
        <w:rPr>
          <w:sz w:val="18"/>
          <w:szCs w:val="18"/>
        </w:rPr>
        <w:t xml:space="preserve">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Kastamonu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Düzce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Mehmet Akif Ersoy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Uşak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Rize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Namık Kemal Üniversitesi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Erzincan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Aksaray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Giresun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Hitit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proofErr w:type="spellStart"/>
      <w:r>
        <w:rPr>
          <w:sz w:val="18"/>
          <w:szCs w:val="18"/>
        </w:rPr>
        <w:t>Bozok</w:t>
      </w:r>
      <w:proofErr w:type="spellEnd"/>
      <w:r>
        <w:rPr>
          <w:sz w:val="18"/>
          <w:szCs w:val="18"/>
        </w:rPr>
        <w:t xml:space="preserve">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Adıyaman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Ordu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Amasya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proofErr w:type="spellStart"/>
      <w:r>
        <w:rPr>
          <w:sz w:val="18"/>
          <w:szCs w:val="18"/>
        </w:rPr>
        <w:lastRenderedPageBreak/>
        <w:t>Karamanoğlu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Mehmetbey</w:t>
      </w:r>
      <w:proofErr w:type="spellEnd"/>
      <w:r>
        <w:rPr>
          <w:sz w:val="18"/>
          <w:szCs w:val="18"/>
        </w:rPr>
        <w:t xml:space="preserve">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Ağrı Dağı Üniversitesi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Sinop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Siirt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Nevşehir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Karabük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Kilis 7 Aralık Üniversitesi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Çankırı </w:t>
      </w:r>
      <w:proofErr w:type="spellStart"/>
      <w:r>
        <w:rPr>
          <w:sz w:val="18"/>
          <w:szCs w:val="18"/>
        </w:rPr>
        <w:t>Karatekin</w:t>
      </w:r>
      <w:proofErr w:type="spellEnd"/>
      <w:r>
        <w:rPr>
          <w:sz w:val="18"/>
          <w:szCs w:val="18"/>
        </w:rPr>
        <w:t xml:space="preserve">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Artvin Çoruh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Bilecik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Bitlis Eren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Kırklareli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Osmaniye Korkut Ata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Bingöl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Muş Alparslan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Mardin </w:t>
      </w:r>
      <w:proofErr w:type="spellStart"/>
      <w:r>
        <w:rPr>
          <w:sz w:val="18"/>
          <w:szCs w:val="18"/>
        </w:rPr>
        <w:t>Artuklu</w:t>
      </w:r>
      <w:proofErr w:type="spellEnd"/>
      <w:r>
        <w:rPr>
          <w:sz w:val="18"/>
          <w:szCs w:val="18"/>
        </w:rPr>
        <w:t xml:space="preserve">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Batman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Ardahan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Bartın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Bayburt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Gümüşhane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proofErr w:type="gramStart"/>
      <w:r>
        <w:rPr>
          <w:sz w:val="18"/>
          <w:szCs w:val="18"/>
        </w:rPr>
        <w:t>Hakkari</w:t>
      </w:r>
      <w:proofErr w:type="gramEnd"/>
      <w:r>
        <w:rPr>
          <w:sz w:val="18"/>
          <w:szCs w:val="18"/>
        </w:rPr>
        <w:t xml:space="preserve">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Iğdır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Şırnak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Tunceli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Yalova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Türk-Alman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Yıldırım Beyazıt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Bursa Teknik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İstanbul Medeniyet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İzmir Kâtip Çelebi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Konya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Kayseri Abdullah Gül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Erzurum Teknik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Adana Bilim ve Teknoloji Üniversitesi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Savunma Sanayi Müsteşarlığı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Atatürk Kültür, Dil ve Tarih Yüksek Kurumu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Atatürk Araştırma Merkezi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Atatürk Kültür Merkezi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Türk Dil Kurumu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Türk Tarih Kurumu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Türkiye ve Orta-Doğu Amme İdaresi Enstitüsü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Türkiye Bilimsel ve Teknolojik Araştırma Kurumu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Türkiye Bilimler Akademisi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Türkiye Adalet Akademisi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Yükseköğrenim Kredi ve Yurtlar Kurumu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Karayolları Genel Müdürlüğü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Spor Genel Müdürlüğü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Devlet Tiyatroları Genel Müdürlüğü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Devlet Opera ve Balesi Genel Müdürlüğü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Orman Genel Müdürlüğü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Vakıflar Genel Müdürlüğü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Türkiye Hudut ve Sahiller Sağlık Genel Müdürlüğü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Maden Tetkik ve Arama Genel Müdürlüğü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Sivil Havacılık Genel Müdürlüğü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Türk Akreditasyon Kurumu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Türk Standartları Enstitüsü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Türk Patent Enstitüsü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lastRenderedPageBreak/>
        <w:t>Ulusal Bor Araştırma Enstitüsü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Türkiye Atom Enerjisi Kurumu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Küçük ve Orta Ölçekli Sanayi Geliştirme ve Destekleme İdaresi Başkanlığı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Türk İşbirliği ve Koordinasyon Ajansı Başkanlığı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GAP Bölge Kalkınma İdaresi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Özelleştirme İdaresi Başkanlığı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Ceza ve İnfaz Kurumları ile Tutukevleri İş Yurtları Kurumu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Meslekî Yeterlilik Kurumu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Yurtdışı Türkler ve Akraba Topluluklar Başkanlığı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Türkiye Yazma Eserler Başkanlığı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Doğu Anadolu Projesi Bölge Kalkınma İdaresi Başkanlığı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Konya Ovası Projesi Bölge Kalkınma İdaresi Başkanlığı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Doğu Karadeniz Projesi Bölge Kalkınma İdaresi Başkanlığı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Devlet Su İşleri Genel Müdürlüğü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Türkiye Su Enstitüsü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Türkiye İlaç ve Tıbbî Cihaz Kurumu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Radyo ve Televizyon Üst Kurulu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Bilgi Teknolojileri ve İletişim Kurumu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Enerji Piyasası Düzenleme Kurumu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Kamu İhale Kurumu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Rekabet Kurumu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 xml:space="preserve">Tütün ve Alkol Piyasası Düzenleme Kurumu </w:t>
      </w:r>
    </w:p>
    <w:p w:rsidR="003D016C" w:rsidRDefault="003D016C" w:rsidP="003D016C">
      <w:pPr>
        <w:pStyle w:val="nospacing"/>
        <w:numPr>
          <w:ilvl w:val="0"/>
          <w:numId w:val="2"/>
        </w:numPr>
        <w:spacing w:line="240" w:lineRule="exact"/>
        <w:ind w:left="831"/>
        <w:rPr>
          <w:sz w:val="18"/>
          <w:szCs w:val="18"/>
        </w:rPr>
      </w:pPr>
      <w:r>
        <w:rPr>
          <w:sz w:val="18"/>
          <w:szCs w:val="18"/>
        </w:rPr>
        <w:t>Kamu Gözetimi,  Muhasebe ve Denetim Standartları Kurumu</w:t>
      </w:r>
    </w:p>
    <w:p w:rsidR="003D016C" w:rsidRDefault="003D016C" w:rsidP="003D016C">
      <w:pPr>
        <w:pStyle w:val="nospacing"/>
        <w:spacing w:line="240" w:lineRule="exact"/>
        <w:ind w:left="471" w:hanging="471"/>
        <w:rPr>
          <w:b/>
          <w:sz w:val="18"/>
          <w:szCs w:val="18"/>
        </w:rPr>
      </w:pPr>
      <w:r>
        <w:rPr>
          <w:b/>
          <w:sz w:val="18"/>
          <w:szCs w:val="18"/>
        </w:rPr>
        <w:t>B-</w:t>
      </w:r>
      <w:r>
        <w:rPr>
          <w:b/>
          <w:sz w:val="18"/>
          <w:szCs w:val="18"/>
        </w:rPr>
        <w:tab/>
        <w:t>Bütçe Dışı Kurumlar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Savunma Sanayi Destekleme Fonu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</w:rPr>
        <w:tab/>
        <w:t>Başbakanlık Sosyal Yardımlaşma ve Dayanışmayı Destekleme Fonu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</w:rPr>
        <w:tab/>
        <w:t>Özelleştirme Fonu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</w:rPr>
        <w:tab/>
        <w:t>Başbakanlık Tanıtma Fonu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</w:rPr>
        <w:tab/>
        <w:t>Destekleme ve Fiyat İstikrar Fonu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6.</w:t>
      </w:r>
      <w:r>
        <w:rPr>
          <w:sz w:val="18"/>
          <w:szCs w:val="18"/>
        </w:rPr>
        <w:tab/>
        <w:t>Döner Sermayeler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7.</w:t>
      </w:r>
      <w:r>
        <w:rPr>
          <w:sz w:val="18"/>
          <w:szCs w:val="18"/>
        </w:rPr>
        <w:tab/>
        <w:t>Avrupa Birliği Eğitim ve Gençlik Programları Merkezi Başkanlığı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8.</w:t>
      </w:r>
      <w:r>
        <w:rPr>
          <w:sz w:val="18"/>
          <w:szCs w:val="18"/>
        </w:rPr>
        <w:tab/>
        <w:t>Merkezi İhale ve Finans Birimi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9.</w:t>
      </w:r>
      <w:r>
        <w:rPr>
          <w:sz w:val="18"/>
          <w:szCs w:val="18"/>
        </w:rPr>
        <w:tab/>
        <w:t xml:space="preserve">Türkiye Yatırım Destek ve Tanıtım Ajansı Başkanlığı 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10.</w:t>
      </w:r>
      <w:r>
        <w:rPr>
          <w:sz w:val="18"/>
          <w:szCs w:val="18"/>
        </w:rPr>
        <w:tab/>
        <w:t xml:space="preserve">Tarım ve Kırsal Kalkınmayı Destekleme Kurumu 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11.</w:t>
      </w:r>
      <w:r>
        <w:rPr>
          <w:sz w:val="18"/>
          <w:szCs w:val="18"/>
        </w:rPr>
        <w:tab/>
        <w:t>Milli Savunma Bakanlığı Akaryakıt İkmal ve NATOPOL Tesisleri İşletme Başkanlığı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12.</w:t>
      </w:r>
      <w:r>
        <w:rPr>
          <w:sz w:val="18"/>
          <w:szCs w:val="18"/>
        </w:rPr>
        <w:tab/>
        <w:t>Türkiye Radyo Televizyon Kurumu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13.</w:t>
      </w:r>
      <w:r>
        <w:rPr>
          <w:sz w:val="18"/>
          <w:szCs w:val="18"/>
        </w:rPr>
        <w:tab/>
        <w:t>Basın İlan Kurumu Genel Müdürlüğü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14.</w:t>
      </w:r>
      <w:r>
        <w:rPr>
          <w:sz w:val="18"/>
          <w:szCs w:val="18"/>
        </w:rPr>
        <w:tab/>
        <w:t>Kefalet Sandıkları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15.</w:t>
      </w:r>
      <w:r>
        <w:rPr>
          <w:sz w:val="18"/>
          <w:szCs w:val="18"/>
        </w:rPr>
        <w:tab/>
        <w:t>Sosyal Tesisler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lastRenderedPageBreak/>
        <w:t>16.</w:t>
      </w:r>
      <w:r>
        <w:rPr>
          <w:sz w:val="18"/>
          <w:szCs w:val="18"/>
        </w:rPr>
        <w:tab/>
        <w:t>Şeker Kurumu</w:t>
      </w:r>
    </w:p>
    <w:p w:rsidR="003D016C" w:rsidRDefault="003D016C" w:rsidP="003D016C">
      <w:pPr>
        <w:pStyle w:val="nospacing"/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II- MAHALLİ İDARELER ALT SEKTÖRÜ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İl Özel İdareleri (Bozcaada ve Gökçeada İlçe Özel İdareleri Dâhil)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</w:rPr>
        <w:tab/>
        <w:t>Belediyeler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</w:rPr>
        <w:tab/>
        <w:t>Mahalli İdare Birlikleri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</w:rPr>
        <w:tab/>
        <w:t>Kalkınma Ajansları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</w:rPr>
        <w:tab/>
        <w:t>Gençlik Hizmetleri ve Spor İl Müdürlükleri</w:t>
      </w:r>
    </w:p>
    <w:p w:rsidR="003D016C" w:rsidRDefault="003D016C" w:rsidP="003D016C">
      <w:pPr>
        <w:pStyle w:val="nospacing"/>
        <w:spacing w:line="24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III- SOSYAL GÜVENLİK KURUMLARI ALT SEKTÖRÜ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 xml:space="preserve">Sosyal Güvenlik Kurumu  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</w:rPr>
        <w:tab/>
        <w:t>Türkiye İş Kurumu Genel Müdürlüğü</w:t>
      </w:r>
    </w:p>
    <w:p w:rsidR="003D016C" w:rsidRDefault="003D016C" w:rsidP="003D016C">
      <w:pPr>
        <w:pStyle w:val="nospacing"/>
        <w:spacing w:line="240" w:lineRule="exact"/>
        <w:ind w:left="831" w:hanging="315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</w:rPr>
        <w:tab/>
        <w:t>İşsizlik Sigortası Fonu</w:t>
      </w:r>
    </w:p>
    <w:p w:rsidR="003D016C" w:rsidRDefault="003D016C">
      <w:pPr>
        <w:rPr>
          <w:b/>
          <w:u w:val="single"/>
        </w:rPr>
      </w:pPr>
    </w:p>
    <w:sectPr w:rsidR="003D016C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FE7943"/>
    <w:multiLevelType w:val="hybridMultilevel"/>
    <w:tmpl w:val="BC5225A4"/>
    <w:lvl w:ilvl="0" w:tplc="041F000F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594"/>
    <w:rsid w:val="00012281"/>
    <w:rsid w:val="00071CAD"/>
    <w:rsid w:val="00174AB0"/>
    <w:rsid w:val="001F5635"/>
    <w:rsid w:val="002E5594"/>
    <w:rsid w:val="0036526C"/>
    <w:rsid w:val="003D016C"/>
    <w:rsid w:val="00627628"/>
    <w:rsid w:val="007D5C33"/>
    <w:rsid w:val="008E72F7"/>
    <w:rsid w:val="009E1AED"/>
    <w:rsid w:val="00B40463"/>
    <w:rsid w:val="00D509B8"/>
    <w:rsid w:val="00D8654E"/>
    <w:rsid w:val="00E13049"/>
    <w:rsid w:val="00E15152"/>
    <w:rsid w:val="00F8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9E1AE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4A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2E559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2E559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E13049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36526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listeparagrafcxspilk">
    <w:name w:val="listeparagrafcxspilk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orta">
    <w:name w:val="listeparagrafcxsporta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cxspson">
    <w:name w:val="listeparagrafcxspson"/>
    <w:basedOn w:val="Normal"/>
    <w:rsid w:val="0001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E1AE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9E1AE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9E1AE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9E1AE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4A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link w:val="KonuBalChar"/>
    <w:uiPriority w:val="10"/>
    <w:qFormat/>
    <w:rsid w:val="0017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4AB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spacing">
    <w:name w:val="nospacing"/>
    <w:basedOn w:val="Normal"/>
    <w:rsid w:val="003D0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3723</Words>
  <Characters>21226</Characters>
  <Application>Microsoft Office Word</Application>
  <DocSecurity>0</DocSecurity>
  <Lines>176</Lines>
  <Paragraphs>49</Paragraphs>
  <ScaleCrop>false</ScaleCrop>
  <Company>TURMOB</Company>
  <LinksUpToDate>false</LinksUpToDate>
  <CharactersWithSpaces>24900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</cp:revision>
  <dcterms:created xsi:type="dcterms:W3CDTF">2012-04-03T05:36:00Z</dcterms:created>
  <dcterms:modified xsi:type="dcterms:W3CDTF">2012-04-06T05:27:00Z</dcterms:modified>
</cp:coreProperties>
</file>