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2E5594" w:rsidRDefault="00016DBE">
      <w:pPr>
        <w:rPr>
          <w:b/>
          <w:u w:val="single"/>
        </w:rPr>
      </w:pPr>
      <w:r>
        <w:rPr>
          <w:b/>
          <w:u w:val="single"/>
        </w:rPr>
        <w:t>1</w:t>
      </w:r>
      <w:r w:rsidR="00C23953">
        <w:rPr>
          <w:b/>
          <w:u w:val="single"/>
        </w:rPr>
        <w:t>1</w:t>
      </w:r>
      <w:r w:rsidR="002E5594" w:rsidRPr="002E5594">
        <w:rPr>
          <w:b/>
          <w:u w:val="single"/>
        </w:rPr>
        <w:t xml:space="preserve"> Nisan 2012, </w:t>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Pr>
          <w:b/>
          <w:u w:val="single"/>
        </w:rPr>
        <w:t xml:space="preserve">           </w:t>
      </w:r>
      <w:proofErr w:type="gramStart"/>
      <w:r w:rsidR="002E5594" w:rsidRPr="002E5594">
        <w:rPr>
          <w:b/>
          <w:u w:val="single"/>
        </w:rPr>
        <w:t>Sayı : 282</w:t>
      </w:r>
      <w:r w:rsidR="00C23953">
        <w:rPr>
          <w:b/>
          <w:u w:val="single"/>
        </w:rPr>
        <w:t>61</w:t>
      </w:r>
      <w:proofErr w:type="gramEnd"/>
    </w:p>
    <w:p w:rsidR="004E3CFF" w:rsidRDefault="004E3CFF" w:rsidP="004E3CFF">
      <w:pPr>
        <w:pStyle w:val="1-Baslk"/>
        <w:spacing w:line="240" w:lineRule="exact"/>
        <w:ind w:firstLine="566"/>
        <w:rPr>
          <w:rFonts w:hAnsi="Times New Roman"/>
          <w:sz w:val="18"/>
          <w:szCs w:val="18"/>
        </w:rPr>
      </w:pPr>
      <w:r>
        <w:rPr>
          <w:rFonts w:hAnsi="Times New Roman"/>
          <w:sz w:val="18"/>
          <w:szCs w:val="18"/>
        </w:rPr>
        <w:t>Maliye Bakanlığından:</w:t>
      </w:r>
    </w:p>
    <w:p w:rsidR="004E3CFF" w:rsidRDefault="004E3CFF" w:rsidP="004E3CFF">
      <w:pPr>
        <w:pStyle w:val="1-Baslk"/>
        <w:spacing w:line="240" w:lineRule="exact"/>
        <w:ind w:firstLine="566"/>
        <w:rPr>
          <w:rFonts w:hAnsi="Times New Roman"/>
          <w:sz w:val="18"/>
          <w:szCs w:val="18"/>
        </w:rPr>
      </w:pPr>
    </w:p>
    <w:p w:rsidR="004E3CFF" w:rsidRDefault="004E3CFF" w:rsidP="004E3CFF">
      <w:pPr>
        <w:pStyle w:val="2-OrtaBaslk"/>
        <w:spacing w:line="240" w:lineRule="exact"/>
        <w:rPr>
          <w:rFonts w:hAnsi="Times New Roman"/>
          <w:sz w:val="18"/>
          <w:szCs w:val="18"/>
        </w:rPr>
      </w:pPr>
      <w:r>
        <w:rPr>
          <w:rFonts w:hAnsi="Times New Roman"/>
          <w:sz w:val="18"/>
          <w:szCs w:val="18"/>
        </w:rPr>
        <w:t>KATMA DEĞER VERGİSİ MÜKELLEFLERİNİN ÖDEME KAYDEDİCİ</w:t>
      </w:r>
    </w:p>
    <w:p w:rsidR="004E3CFF" w:rsidRDefault="004E3CFF" w:rsidP="004E3CFF">
      <w:pPr>
        <w:pStyle w:val="2-OrtaBaslk"/>
        <w:spacing w:line="240" w:lineRule="exact"/>
        <w:rPr>
          <w:rFonts w:hAnsi="Times New Roman"/>
          <w:sz w:val="18"/>
          <w:szCs w:val="18"/>
        </w:rPr>
      </w:pPr>
      <w:r>
        <w:rPr>
          <w:rFonts w:hAnsi="Times New Roman"/>
          <w:sz w:val="18"/>
          <w:szCs w:val="18"/>
        </w:rPr>
        <w:t>CİHAZLARI KULLANMALARI MECBURİYETİ HAKKINDA</w:t>
      </w:r>
    </w:p>
    <w:p w:rsidR="004E3CFF" w:rsidRDefault="004E3CFF" w:rsidP="004E3CFF">
      <w:pPr>
        <w:pStyle w:val="2-OrtaBaslk"/>
        <w:spacing w:line="240" w:lineRule="exact"/>
        <w:rPr>
          <w:rFonts w:hAnsi="Times New Roman"/>
          <w:sz w:val="18"/>
          <w:szCs w:val="18"/>
        </w:rPr>
      </w:pPr>
      <w:r>
        <w:rPr>
          <w:rFonts w:hAnsi="Times New Roman"/>
          <w:sz w:val="18"/>
          <w:szCs w:val="18"/>
        </w:rPr>
        <w:t>KANUNLA İLGİLİ GENEL TEBLİĞ</w:t>
      </w:r>
    </w:p>
    <w:p w:rsidR="004E3CFF" w:rsidRDefault="004E3CFF" w:rsidP="004E3CFF">
      <w:pPr>
        <w:pStyle w:val="2-OrtaBaslk"/>
        <w:spacing w:line="240" w:lineRule="exact"/>
        <w:rPr>
          <w:rFonts w:hAnsi="Times New Roman"/>
          <w:sz w:val="18"/>
          <w:szCs w:val="18"/>
        </w:rPr>
      </w:pPr>
      <w:r>
        <w:rPr>
          <w:rFonts w:hAnsi="Times New Roman"/>
          <w:sz w:val="18"/>
          <w:szCs w:val="18"/>
        </w:rPr>
        <w:t>(SERİ NO: 69)</w:t>
      </w:r>
    </w:p>
    <w:p w:rsidR="004E3CFF" w:rsidRDefault="004E3CFF" w:rsidP="004E3CFF">
      <w:pPr>
        <w:pStyle w:val="2-OrtaBaslk"/>
        <w:spacing w:line="240" w:lineRule="exact"/>
        <w:rPr>
          <w:rFonts w:hAnsi="Times New Roman"/>
          <w:sz w:val="18"/>
          <w:szCs w:val="18"/>
        </w:rPr>
      </w:pPr>
    </w:p>
    <w:p w:rsidR="004E3CFF" w:rsidRDefault="004E3CFF" w:rsidP="004E3CFF">
      <w:pPr>
        <w:pStyle w:val="3-NormalYaz"/>
        <w:spacing w:line="240" w:lineRule="exact"/>
        <w:ind w:firstLine="566"/>
        <w:rPr>
          <w:rFonts w:hAnsi="Times New Roman"/>
          <w:sz w:val="18"/>
          <w:szCs w:val="18"/>
        </w:rPr>
      </w:pPr>
      <w:proofErr w:type="gramStart"/>
      <w:r>
        <w:rPr>
          <w:rFonts w:hAnsi="Times New Roman"/>
          <w:sz w:val="18"/>
          <w:szCs w:val="18"/>
        </w:rPr>
        <w:t>Katma Değer Vergisi Mükelleflerinin Ödeme Kaydedici Cihazları Kullanmaları Mecburiyeti Hakkında 3100 sayılı Kanunla</w:t>
      </w:r>
      <w:r>
        <w:rPr>
          <w:rFonts w:hAnsi="Times New Roman"/>
          <w:position w:val="6"/>
          <w:sz w:val="18"/>
          <w:szCs w:val="18"/>
        </w:rPr>
        <w:t>1</w:t>
      </w:r>
      <w:r>
        <w:rPr>
          <w:rFonts w:hAnsi="Times New Roman"/>
          <w:sz w:val="18"/>
          <w:szCs w:val="18"/>
        </w:rPr>
        <w:t xml:space="preserve"> ilgili olarak yayımlanmış bulunan 1 Seri No.lu Genel Tebliğin</w:t>
      </w:r>
      <w:r>
        <w:rPr>
          <w:rFonts w:hAnsi="Times New Roman"/>
          <w:position w:val="6"/>
          <w:sz w:val="18"/>
          <w:szCs w:val="18"/>
        </w:rPr>
        <w:t>2</w:t>
      </w:r>
      <w:r>
        <w:rPr>
          <w:rFonts w:hAnsi="Times New Roman"/>
          <w:sz w:val="18"/>
          <w:szCs w:val="18"/>
        </w:rPr>
        <w:t xml:space="preserve"> VI. bölümünde, ödeme kaydedici cihazların bünyelerinde bulunması gereken belli başlı tertibatlar ve bunların özellikleri; VIII. bölümünde, ödeme kaydedici cihazların onayına ilişkin işlemler; 31 Seri No.lu Genel Tebliğde</w:t>
      </w:r>
      <w:r>
        <w:rPr>
          <w:rFonts w:hAnsi="Times New Roman"/>
          <w:position w:val="6"/>
          <w:sz w:val="18"/>
          <w:szCs w:val="18"/>
        </w:rPr>
        <w:t>3</w:t>
      </w:r>
      <w:r>
        <w:rPr>
          <w:rFonts w:hAnsi="Times New Roman"/>
          <w:sz w:val="18"/>
          <w:szCs w:val="18"/>
        </w:rPr>
        <w:t xml:space="preserve"> de bilgisayar bağlantılı sistemlerde aranacak teknik ve fonksiyonel özellikler belirlenmiştir.</w:t>
      </w:r>
      <w:proofErr w:type="gramEnd"/>
    </w:p>
    <w:p w:rsidR="004E3CFF" w:rsidRDefault="004E3CFF" w:rsidP="004E3CFF">
      <w:pPr>
        <w:pStyle w:val="3-NormalYaz"/>
        <w:spacing w:line="240" w:lineRule="exact"/>
        <w:ind w:firstLine="566"/>
        <w:rPr>
          <w:rFonts w:hAnsi="Times New Roman"/>
          <w:sz w:val="18"/>
          <w:szCs w:val="18"/>
        </w:rPr>
      </w:pPr>
      <w:r>
        <w:rPr>
          <w:rFonts w:hAnsi="Times New Roman"/>
          <w:sz w:val="18"/>
          <w:szCs w:val="18"/>
        </w:rPr>
        <w:t>Anılan Kanunun 10 uncu maddesinde "Maliye Bakanlığı, ödeme kaydedici cihazların kullanılmalarıyla ilgili olarak, bu Kanunla belli edilen hususlar dışında uyulması gereken usul ve esasları belirlemeye ve bunlarda değişiklik yapmaya yetkilidir." hükmü yer almaktadır.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Bahsi geçen hükümle Bakanlığımıza verilen yetkiye istinaden “Yeni Nesil Ödeme Kaydedici Cihazlar” adıyla tanımlanan cihazların aşağıda belirtilen özellikleri taşıması zorunludur.</w:t>
      </w:r>
    </w:p>
    <w:p w:rsidR="004E3CFF" w:rsidRDefault="004E3CFF" w:rsidP="004E3CFF">
      <w:pPr>
        <w:pStyle w:val="3-NormalYaz"/>
        <w:spacing w:line="240" w:lineRule="exact"/>
        <w:ind w:firstLine="566"/>
        <w:rPr>
          <w:rFonts w:hAnsi="Times New Roman"/>
          <w:b/>
          <w:sz w:val="18"/>
          <w:szCs w:val="18"/>
        </w:rPr>
      </w:pPr>
      <w:r>
        <w:rPr>
          <w:rFonts w:hAnsi="Times New Roman"/>
          <w:b/>
          <w:sz w:val="18"/>
          <w:szCs w:val="18"/>
        </w:rPr>
        <w:t>1. Yeni Nesil Ödeme Kaydedici Cihazlar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a) Üretici veya ithalatçı firmalar tarafından onay için Bakanlığımıza teslim edilecek olan yeni nesil ödeme kaydedici cihazlar, teknik ve fonksiyonel bakımlardan Gelir İdaresi Başkanlığı’nın www.</w:t>
      </w:r>
      <w:proofErr w:type="spellStart"/>
      <w:r>
        <w:rPr>
          <w:rFonts w:hAnsi="Times New Roman"/>
          <w:sz w:val="18"/>
          <w:szCs w:val="18"/>
        </w:rPr>
        <w:t>gib</w:t>
      </w:r>
      <w:proofErr w:type="spellEnd"/>
      <w:r>
        <w:rPr>
          <w:rFonts w:hAnsi="Times New Roman"/>
          <w:sz w:val="18"/>
          <w:szCs w:val="18"/>
        </w:rPr>
        <w:t>.gov.tr adresli web sitesinde yayımlanacak “Yeni Nesil Ödeme Kaydedici Cihazlar Teknik Kılavuzu”nda belirtilen özellikleri haiz olacaktır. Gelir İdaresi Başkanlığı, ilgili taraflara ilan etmek şartıyla gerekli gördüğü durumlarda teknik kılavuzlarda değişiklik yapabilecektir.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b) Maliye Bakanlığınca, cihazların onaylanması aşamasında “Yeni Nesil Ödeme Kaydedici Cihazlar Teknik Kılavuzu”nda belirtilen özellikler aranacak ve bu şartları sağlamayan cihazlara onay belgesi verilmeyecektir. Ayrıca, Maliye Bakanlığı ilgili kurum ve kuruluşlarla birlikte yeni nesil ödeme kaydedici cihazların güvenlik özellikleri için Ortak Kriterler Değerlendirme Garanti Seviyesinin belirtildiği Koruma Profili (Ortak Kriterler Belgesi) hazırlamaya yetkilidir. Bu yetkinin kullanılmasını müteakip söz konusu cihazların onaylanmasında bu belgede yer alan özellikler aranacaktır.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c) EFT-POS özelliği olan ve Maliye Bakanlığınca onaylanmış bulunan ödeme kaydedici cihazlardan, Ödeme Kartları Endüstrisi PIN İşlem Güvenliği Standartlarına göre (2) ve üstü seviye uygunluk belgesi alınmış olanlar, bu belgelerin ibraz edilmesi şartıyla Maliye Bakanlığınca onaylanmış yeni nesil ödeme kaydedici cihaz olarak kabul edilir.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ç) Yeni nesil ödeme kaydedici cihazların, öngörülen amaca uygun olarak kullanılmasının sağlanması bakımından, ödeme kaydedici cihaz firmaları, satış ve bakım onarım servisleri aracılığıyla gerekli tedbirleri alacaklardır.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d) Yeni nesil ödeme kaydedici cihazlar, Gelir İdaresi Başkanlığınca belirlenecek kıstaslara göre, anlık ya da dönemsel olarak, elektronik yolla Gelir İdaresi Başkanlığı Bilgi İşlem Merkezine veri gönderebilecek ve Gelir İdaresi Başkanlığınca da erişilebilecek özellikleri taşıyacaktır.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e) Yeni nesil ödeme kaydedici cihazlarda mali hafıza, cihaz şasisine, şasi tahrip edilmedikçe çıkartılamayacak tarzda korumalı olarak sabitlenmiş olacak, hiçbir şekilde değiştirme veya çıkarılma gibi bir işleme tabi tutulmayacaktır. Mali hafızaların arızalanması halinde, yeni mali hafıza aynı şekilde korumalı olarak cihaza sabitlenecektir. Kullanılmış cihazların el değiştirmesinde de mali hafıza değişimi olmayacak, ödeme kaydedici cihaz servisi nezdinde gerçekleştirilecek devir sırasında satıcıya ait mali hafıza raporunun ilgili vergi dairesine gönderilmesi suretiyle işlem tamamlanacak, alıcı mükellef satıcının bıraktığı yerden mali hafıza kaydına devam edecektir.</w:t>
      </w:r>
    </w:p>
    <w:p w:rsidR="004E3CFF" w:rsidRDefault="004E3CFF" w:rsidP="004E3CFF">
      <w:pPr>
        <w:pStyle w:val="3-NormalYaz"/>
        <w:spacing w:line="240" w:lineRule="exact"/>
        <w:ind w:firstLine="566"/>
        <w:rPr>
          <w:rFonts w:hAnsi="Times New Roman"/>
          <w:b/>
          <w:sz w:val="18"/>
          <w:szCs w:val="18"/>
        </w:rPr>
      </w:pPr>
      <w:r>
        <w:rPr>
          <w:rFonts w:hAnsi="Times New Roman"/>
          <w:b/>
          <w:sz w:val="18"/>
          <w:szCs w:val="18"/>
        </w:rPr>
        <w:t>2. Önceki Mevzuata Uygun Olarak Onaylanmış Ödeme Kaydedici Cihazların Durumu</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Yeni nesil ödeme kaydedici cihazların kullanılmasına ilişkin kademeli bir geçiş öngörülmektedir.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Buna göre,</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 xml:space="preserve">a) Üretici veya ithalatçı firmalar tarafından 3100 Sayılı Kanunla ilgili önceki mevzuata göre üretmek üzere geliştirilen ödeme kaydedici cihaz modelleri </w:t>
      </w:r>
      <w:proofErr w:type="gramStart"/>
      <w:r>
        <w:rPr>
          <w:rFonts w:hAnsi="Times New Roman"/>
          <w:sz w:val="18"/>
          <w:szCs w:val="18"/>
        </w:rPr>
        <w:t>31/12/2012</w:t>
      </w:r>
      <w:proofErr w:type="gramEnd"/>
      <w:r>
        <w:rPr>
          <w:rFonts w:hAnsi="Times New Roman"/>
          <w:sz w:val="18"/>
          <w:szCs w:val="18"/>
        </w:rPr>
        <w:t xml:space="preserve"> tarihine kadar onaylanabilecektir. Ancak modelleri onaylanan ödeme kaydedici cihazların onay süresi </w:t>
      </w:r>
      <w:proofErr w:type="gramStart"/>
      <w:r>
        <w:rPr>
          <w:rFonts w:hAnsi="Times New Roman"/>
          <w:sz w:val="18"/>
          <w:szCs w:val="18"/>
        </w:rPr>
        <w:t>31/12/2012</w:t>
      </w:r>
      <w:proofErr w:type="gramEnd"/>
      <w:r>
        <w:rPr>
          <w:rFonts w:hAnsi="Times New Roman"/>
          <w:sz w:val="18"/>
          <w:szCs w:val="18"/>
        </w:rPr>
        <w:t xml:space="preserve"> tarihinden sonra uzatılmayacaktır.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 xml:space="preserve">b) Mükellefler önceki mevzuat hükümlerine tâbi ellerindeki ödeme kaydedici cihazlarını, </w:t>
      </w:r>
      <w:proofErr w:type="gramStart"/>
      <w:r>
        <w:rPr>
          <w:rFonts w:hAnsi="Times New Roman"/>
          <w:sz w:val="18"/>
          <w:szCs w:val="18"/>
        </w:rPr>
        <w:t>31/12/2015</w:t>
      </w:r>
      <w:proofErr w:type="gramEnd"/>
      <w:r>
        <w:rPr>
          <w:rFonts w:hAnsi="Times New Roman"/>
          <w:sz w:val="18"/>
          <w:szCs w:val="18"/>
        </w:rPr>
        <w:t xml:space="preserve"> tarihini geçmemek üzere mali hafızaları doluncaya kadar kullanabileceklerdir. </w:t>
      </w:r>
      <w:proofErr w:type="gramStart"/>
      <w:r>
        <w:rPr>
          <w:rFonts w:hAnsi="Times New Roman"/>
          <w:sz w:val="18"/>
          <w:szCs w:val="18"/>
        </w:rPr>
        <w:t>1/1/2013’ten</w:t>
      </w:r>
      <w:proofErr w:type="gramEnd"/>
      <w:r>
        <w:rPr>
          <w:rFonts w:hAnsi="Times New Roman"/>
          <w:sz w:val="18"/>
          <w:szCs w:val="18"/>
        </w:rPr>
        <w:t xml:space="preserve"> itibaren geçerli olmak üzere, bu süre içerisinde mali hafızaları dolan ödeme kaydedici cihazlara, yeni mali hafıza takılmayacak ve cihaz 60 Seri No.lu ödeme kaydedici cihaz Genel Tebliğinin</w:t>
      </w:r>
      <w:r>
        <w:rPr>
          <w:rFonts w:hAnsi="Times New Roman"/>
          <w:position w:val="6"/>
          <w:sz w:val="18"/>
          <w:szCs w:val="18"/>
        </w:rPr>
        <w:t>4</w:t>
      </w:r>
      <w:r>
        <w:rPr>
          <w:rFonts w:hAnsi="Times New Roman"/>
          <w:sz w:val="18"/>
          <w:szCs w:val="18"/>
        </w:rPr>
        <w:t xml:space="preserve"> </w:t>
      </w:r>
      <w:proofErr w:type="spellStart"/>
      <w:r>
        <w:rPr>
          <w:rFonts w:hAnsi="Times New Roman"/>
          <w:sz w:val="18"/>
          <w:szCs w:val="18"/>
        </w:rPr>
        <w:t>4</w:t>
      </w:r>
      <w:proofErr w:type="spellEnd"/>
      <w:r>
        <w:rPr>
          <w:rFonts w:hAnsi="Times New Roman"/>
          <w:sz w:val="18"/>
          <w:szCs w:val="18"/>
        </w:rPr>
        <w:t xml:space="preserve"> üncü Bölümünde yapılan açıklamalar çerçevesinde hurdaya ayrılacaktır. Cihazı hurdaya ayrılan mükellefler yeni nesil ödeme kaydedici cihazları almak suretiyle kanuni yükümlülüklerini yerine getireceklerdir.</w:t>
      </w:r>
    </w:p>
    <w:p w:rsidR="004E3CFF" w:rsidRDefault="004E3CFF" w:rsidP="004E3CFF">
      <w:pPr>
        <w:pStyle w:val="3-NormalYaz"/>
        <w:spacing w:line="240" w:lineRule="exact"/>
        <w:ind w:firstLine="566"/>
        <w:rPr>
          <w:rFonts w:hAnsi="Times New Roman"/>
          <w:b/>
          <w:sz w:val="18"/>
          <w:szCs w:val="18"/>
        </w:rPr>
      </w:pPr>
      <w:r>
        <w:rPr>
          <w:rFonts w:hAnsi="Times New Roman"/>
          <w:b/>
          <w:sz w:val="18"/>
          <w:szCs w:val="18"/>
        </w:rPr>
        <w:t>3. Diğer Hususlar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lastRenderedPageBreak/>
        <w:t xml:space="preserve">a) Faaliyetlerinde seyyar EFT-POS cihazı kullanan mükellefler </w:t>
      </w:r>
      <w:proofErr w:type="gramStart"/>
      <w:r>
        <w:rPr>
          <w:rFonts w:hAnsi="Times New Roman"/>
          <w:sz w:val="18"/>
          <w:szCs w:val="18"/>
        </w:rPr>
        <w:t>1/1/2013</w:t>
      </w:r>
      <w:proofErr w:type="gramEnd"/>
      <w:r>
        <w:rPr>
          <w:rFonts w:hAnsi="Times New Roman"/>
          <w:sz w:val="18"/>
          <w:szCs w:val="18"/>
        </w:rPr>
        <w:t xml:space="preserve"> tarihinden itibaren bu cihazlar yerine EFT-POS özelliği olan yeni nesil ödeme kaydedici cihaz kullanmak zorundadırlar.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 xml:space="preserve">b) Yol kenarı otopark hizmeti veren mükellefler, faaliyetlerinde </w:t>
      </w:r>
      <w:proofErr w:type="gramStart"/>
      <w:r>
        <w:rPr>
          <w:rFonts w:hAnsi="Times New Roman"/>
          <w:sz w:val="18"/>
          <w:szCs w:val="18"/>
        </w:rPr>
        <w:t>1/1/2013</w:t>
      </w:r>
      <w:proofErr w:type="gramEnd"/>
      <w:r>
        <w:rPr>
          <w:rFonts w:hAnsi="Times New Roman"/>
          <w:sz w:val="18"/>
          <w:szCs w:val="18"/>
        </w:rPr>
        <w:t xml:space="preserve"> tarihinden itibaren EFT-POS özelliği olan yeni nesil ödeme kaydedici cihaz kullanmak zorundadırlar.</w:t>
      </w:r>
    </w:p>
    <w:p w:rsidR="004E3CFF" w:rsidRDefault="004E3CFF" w:rsidP="004E3CFF">
      <w:pPr>
        <w:pStyle w:val="3-NormalYaz"/>
        <w:spacing w:line="240" w:lineRule="exact"/>
        <w:ind w:firstLine="566"/>
        <w:rPr>
          <w:rFonts w:hAnsi="Times New Roman"/>
          <w:b/>
          <w:sz w:val="18"/>
          <w:szCs w:val="18"/>
        </w:rPr>
      </w:pPr>
      <w:r>
        <w:rPr>
          <w:rFonts w:hAnsi="Times New Roman"/>
          <w:b/>
          <w:sz w:val="18"/>
          <w:szCs w:val="18"/>
        </w:rPr>
        <w:t>4. Yürürlük</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3100 Sayılı Kanun uygulaması ile ilgili olarak bu Genel Tebliğden önce yayımlanan mevzuatta yer alan düzenlemelerin bu Tebliğe aykırı olmayan hükümleri yürürlükte olacaktır.</w:t>
      </w:r>
    </w:p>
    <w:p w:rsidR="004E3CFF" w:rsidRDefault="004E3CFF" w:rsidP="004E3CFF">
      <w:pPr>
        <w:pStyle w:val="3-NormalYaz"/>
        <w:spacing w:line="240" w:lineRule="exact"/>
        <w:ind w:firstLine="566"/>
        <w:rPr>
          <w:rFonts w:hAnsi="Times New Roman"/>
          <w:sz w:val="18"/>
          <w:szCs w:val="18"/>
        </w:rPr>
      </w:pPr>
      <w:r>
        <w:rPr>
          <w:rFonts w:hAnsi="Times New Roman"/>
          <w:sz w:val="18"/>
          <w:szCs w:val="18"/>
        </w:rPr>
        <w:t>Tebliğ olunur.</w:t>
      </w:r>
    </w:p>
    <w:p w:rsidR="004E3CFF" w:rsidRDefault="004E3CFF" w:rsidP="004E3CFF">
      <w:pPr>
        <w:pStyle w:val="3-NormalYaz"/>
        <w:spacing w:line="240" w:lineRule="exact"/>
        <w:ind w:firstLine="566"/>
        <w:rPr>
          <w:rFonts w:hAnsi="Times New Roman"/>
          <w:sz w:val="18"/>
          <w:szCs w:val="18"/>
        </w:rPr>
      </w:pPr>
    </w:p>
    <w:p w:rsidR="004E3CFF" w:rsidRDefault="004E3CFF" w:rsidP="004E3CFF">
      <w:pPr>
        <w:pStyle w:val="3-NormalYaz"/>
        <w:spacing w:line="240" w:lineRule="exact"/>
        <w:rPr>
          <w:rFonts w:hAnsi="Times New Roman"/>
          <w:sz w:val="18"/>
          <w:szCs w:val="18"/>
        </w:rPr>
      </w:pPr>
      <w:r>
        <w:rPr>
          <w:rFonts w:hAnsi="Times New Roman"/>
          <w:sz w:val="18"/>
          <w:szCs w:val="18"/>
        </w:rPr>
        <w:t>——————————————</w:t>
      </w:r>
    </w:p>
    <w:p w:rsidR="004E3CFF" w:rsidRDefault="004E3CFF" w:rsidP="004E3CFF">
      <w:pPr>
        <w:pStyle w:val="3-NormalYaz"/>
        <w:spacing w:line="240" w:lineRule="exact"/>
        <w:rPr>
          <w:rFonts w:hAnsi="Times New Roman"/>
          <w:sz w:val="18"/>
          <w:szCs w:val="18"/>
        </w:rPr>
      </w:pPr>
      <w:r>
        <w:rPr>
          <w:rFonts w:hAnsi="Times New Roman"/>
          <w:position w:val="6"/>
          <w:sz w:val="18"/>
          <w:szCs w:val="18"/>
        </w:rPr>
        <w:t>1</w:t>
      </w:r>
      <w:r>
        <w:rPr>
          <w:rFonts w:hAnsi="Times New Roman"/>
          <w:sz w:val="18"/>
          <w:szCs w:val="18"/>
        </w:rPr>
        <w:t xml:space="preserve"> </w:t>
      </w:r>
      <w:proofErr w:type="gramStart"/>
      <w:r>
        <w:rPr>
          <w:rFonts w:hAnsi="Times New Roman"/>
          <w:sz w:val="18"/>
          <w:szCs w:val="18"/>
        </w:rPr>
        <w:t>15/12/1984</w:t>
      </w:r>
      <w:proofErr w:type="gramEnd"/>
      <w:r>
        <w:rPr>
          <w:rFonts w:hAnsi="Times New Roman"/>
          <w:sz w:val="18"/>
          <w:szCs w:val="18"/>
        </w:rPr>
        <w:t xml:space="preserve"> tarihli ve 18606 sayılı Resmî Gazete’de yayımlanmıştır.</w:t>
      </w:r>
    </w:p>
    <w:p w:rsidR="004E3CFF" w:rsidRDefault="004E3CFF" w:rsidP="004E3CFF">
      <w:pPr>
        <w:pStyle w:val="3-NormalYaz"/>
        <w:spacing w:line="240" w:lineRule="exact"/>
        <w:rPr>
          <w:rFonts w:hAnsi="Times New Roman"/>
          <w:sz w:val="18"/>
          <w:szCs w:val="18"/>
        </w:rPr>
      </w:pPr>
      <w:r>
        <w:rPr>
          <w:rFonts w:hAnsi="Times New Roman"/>
          <w:position w:val="6"/>
          <w:sz w:val="18"/>
          <w:szCs w:val="18"/>
        </w:rPr>
        <w:t>2</w:t>
      </w:r>
      <w:r>
        <w:rPr>
          <w:rFonts w:hAnsi="Times New Roman"/>
          <w:sz w:val="18"/>
          <w:szCs w:val="18"/>
        </w:rPr>
        <w:t xml:space="preserve"> </w:t>
      </w:r>
      <w:proofErr w:type="gramStart"/>
      <w:r>
        <w:rPr>
          <w:rFonts w:hAnsi="Times New Roman"/>
          <w:sz w:val="18"/>
          <w:szCs w:val="18"/>
        </w:rPr>
        <w:t>9/2/1985</w:t>
      </w:r>
      <w:proofErr w:type="gramEnd"/>
      <w:r>
        <w:rPr>
          <w:rFonts w:hAnsi="Times New Roman"/>
          <w:sz w:val="18"/>
          <w:szCs w:val="18"/>
        </w:rPr>
        <w:t xml:space="preserve"> tarihli ve 18661 sayılı Resmî Gazete’de yayımlanmıştır.</w:t>
      </w:r>
    </w:p>
    <w:p w:rsidR="004E3CFF" w:rsidRDefault="004E3CFF" w:rsidP="004E3CFF">
      <w:pPr>
        <w:pStyle w:val="3-NormalYaz"/>
        <w:spacing w:line="240" w:lineRule="exact"/>
        <w:rPr>
          <w:rFonts w:hAnsi="Times New Roman"/>
          <w:sz w:val="18"/>
          <w:szCs w:val="18"/>
        </w:rPr>
      </w:pPr>
      <w:r>
        <w:rPr>
          <w:rFonts w:hAnsi="Times New Roman"/>
          <w:position w:val="6"/>
          <w:sz w:val="18"/>
          <w:szCs w:val="18"/>
        </w:rPr>
        <w:t>3</w:t>
      </w:r>
      <w:r>
        <w:rPr>
          <w:rFonts w:hAnsi="Times New Roman"/>
          <w:sz w:val="18"/>
          <w:szCs w:val="18"/>
        </w:rPr>
        <w:t xml:space="preserve"> </w:t>
      </w:r>
      <w:proofErr w:type="gramStart"/>
      <w:r>
        <w:rPr>
          <w:rFonts w:hAnsi="Times New Roman"/>
          <w:sz w:val="18"/>
          <w:szCs w:val="18"/>
        </w:rPr>
        <w:t>10/5/1991</w:t>
      </w:r>
      <w:proofErr w:type="gramEnd"/>
      <w:r>
        <w:rPr>
          <w:rFonts w:hAnsi="Times New Roman"/>
          <w:sz w:val="18"/>
          <w:szCs w:val="18"/>
        </w:rPr>
        <w:t xml:space="preserve"> tarihli ve 20867 sayılı Resmî Gazete’de yayımlanmıştır.</w:t>
      </w:r>
    </w:p>
    <w:p w:rsidR="004E3CFF" w:rsidRDefault="004E3CFF" w:rsidP="004E3CFF">
      <w:pPr>
        <w:pStyle w:val="3-NormalYaz"/>
        <w:spacing w:line="240" w:lineRule="exact"/>
        <w:rPr>
          <w:rFonts w:hAnsi="Times New Roman"/>
          <w:sz w:val="18"/>
          <w:szCs w:val="18"/>
        </w:rPr>
      </w:pPr>
      <w:r>
        <w:rPr>
          <w:rFonts w:hAnsi="Times New Roman"/>
          <w:position w:val="6"/>
          <w:sz w:val="18"/>
          <w:szCs w:val="18"/>
        </w:rPr>
        <w:t>4</w:t>
      </w:r>
      <w:r>
        <w:rPr>
          <w:rFonts w:hAnsi="Times New Roman"/>
          <w:sz w:val="18"/>
          <w:szCs w:val="18"/>
        </w:rPr>
        <w:t xml:space="preserve"> </w:t>
      </w:r>
      <w:proofErr w:type="gramStart"/>
      <w:r>
        <w:rPr>
          <w:rFonts w:hAnsi="Times New Roman"/>
          <w:sz w:val="18"/>
          <w:szCs w:val="18"/>
        </w:rPr>
        <w:t>15/5/2004</w:t>
      </w:r>
      <w:proofErr w:type="gramEnd"/>
      <w:r>
        <w:rPr>
          <w:rFonts w:hAnsi="Times New Roman"/>
          <w:sz w:val="18"/>
          <w:szCs w:val="18"/>
        </w:rPr>
        <w:t xml:space="preserve"> tarihli ve 25463 sayılı Resmî Gazete’de yayımlanmıştır.</w:t>
      </w:r>
    </w:p>
    <w:p w:rsidR="004E3CFF" w:rsidRDefault="004E3CFF">
      <w:pPr>
        <w:rPr>
          <w:b/>
          <w:u w:val="single"/>
        </w:rPr>
      </w:pPr>
    </w:p>
    <w:sectPr w:rsidR="004E3CF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174AB0"/>
    <w:rsid w:val="001F5635"/>
    <w:rsid w:val="002759FE"/>
    <w:rsid w:val="002E5594"/>
    <w:rsid w:val="0036526C"/>
    <w:rsid w:val="003F0B86"/>
    <w:rsid w:val="00476A6C"/>
    <w:rsid w:val="004E3CFF"/>
    <w:rsid w:val="005829E0"/>
    <w:rsid w:val="00627628"/>
    <w:rsid w:val="007D5C33"/>
    <w:rsid w:val="008A7D71"/>
    <w:rsid w:val="008E72F7"/>
    <w:rsid w:val="00983FF5"/>
    <w:rsid w:val="009E1AED"/>
    <w:rsid w:val="00B022B2"/>
    <w:rsid w:val="00B40463"/>
    <w:rsid w:val="00B76B8A"/>
    <w:rsid w:val="00C23953"/>
    <w:rsid w:val="00D368A8"/>
    <w:rsid w:val="00D509B8"/>
    <w:rsid w:val="00D8654E"/>
    <w:rsid w:val="00E13049"/>
    <w:rsid w:val="00E15152"/>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4871</Characters>
  <Application>Microsoft Office Word</Application>
  <DocSecurity>0</DocSecurity>
  <Lines>40</Lines>
  <Paragraphs>11</Paragraphs>
  <ScaleCrop>false</ScaleCrop>
  <Company>TURMOB</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2012-04-03T05:36:00Z</dcterms:created>
  <dcterms:modified xsi:type="dcterms:W3CDTF">2012-04-11T05:35:00Z</dcterms:modified>
</cp:coreProperties>
</file>