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94" w:rsidRDefault="00034952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20</w:t>
      </w:r>
      <w:r w:rsidR="002E5594" w:rsidRPr="003B32F0">
        <w:rPr>
          <w:rFonts w:asciiTheme="majorHAnsi" w:hAnsiTheme="majorHAnsi"/>
          <w:b/>
          <w:u w:val="single"/>
        </w:rPr>
        <w:t xml:space="preserve"> Nisan 2012, </w:t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016DBE" w:rsidRPr="003B32F0">
        <w:rPr>
          <w:rFonts w:asciiTheme="majorHAnsi" w:hAnsiTheme="majorHAnsi"/>
          <w:b/>
          <w:u w:val="single"/>
        </w:rPr>
        <w:t xml:space="preserve">           </w:t>
      </w:r>
      <w:proofErr w:type="gramStart"/>
      <w:r w:rsidR="002E5594" w:rsidRPr="003B32F0">
        <w:rPr>
          <w:rFonts w:asciiTheme="majorHAnsi" w:hAnsiTheme="majorHAnsi"/>
          <w:b/>
          <w:u w:val="single"/>
        </w:rPr>
        <w:t>Sayı : 282</w:t>
      </w:r>
      <w:r>
        <w:rPr>
          <w:rFonts w:asciiTheme="majorHAnsi" w:hAnsiTheme="majorHAnsi"/>
          <w:b/>
          <w:u w:val="single"/>
        </w:rPr>
        <w:t>70</w:t>
      </w:r>
      <w:proofErr w:type="gramEnd"/>
    </w:p>
    <w:p w:rsidR="009B7C98" w:rsidRDefault="009B7C98" w:rsidP="009B7C9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B7C98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9B7C98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9B7C98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9B7C98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9B7C98" w:rsidRPr="009B7C98" w:rsidRDefault="009B7C98" w:rsidP="009B7C9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NLER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VENL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 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SKLER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9B7C98" w:rsidRPr="009B7C98" w:rsidRDefault="009B7C98" w:rsidP="009B7C98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BEL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RLENMES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9B7C98" w:rsidRPr="009B7C98" w:rsidRDefault="009B7C98" w:rsidP="009B7C9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B7C98" w:rsidRPr="009B7C98" w:rsidRDefault="009B7C98" w:rsidP="009B7C98">
      <w:pPr>
        <w:spacing w:after="79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; piyasaya nihai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olarak arz edilen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nlerinin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venli olarak piyasaya arz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yerine getirilmesi gereken temel gerekleri belirlemektir.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, piyasaya nihai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olarak arz edilen ve Ek-1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de yer alan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 kapsar.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9B7C98">
        <w:rPr>
          <w:rFonts w:ascii="Times New Roman" w:eastAsia="ヒラギノ明朝 Pro W3" w:hAnsi="Times" w:cs="Times New Roman"/>
          <w:sz w:val="18"/>
          <w:szCs w:val="18"/>
        </w:rPr>
        <w:t>29/6/2001</w:t>
      </w:r>
      <w:proofErr w:type="gram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tarihli ve 4703 say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nlere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kin Teknik Mevzuat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na Dair Kanuna, 3/6/2011 tarihli ve 640 say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nde Kararnameye, 13/11/2001 tarihli ve 2001/3529 say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 konulan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 Piyasa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zetimi ve Denetimine Dair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 dayan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4703 say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nlere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kin Teknik Mevzuat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na Dair Kanunda yer alan tan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mlara ek olarak,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Biyoyararl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nebilir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sahip oldu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toksikolojik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: 36 aya kadar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 uyku, dinlenme, </w:t>
      </w:r>
      <w:proofErr w:type="gramStart"/>
      <w:r w:rsidRPr="009B7C98">
        <w:rPr>
          <w:rFonts w:ascii="Times New Roman" w:eastAsia="ヒラギノ明朝 Pro W3" w:hAnsi="Times" w:cs="Times New Roman"/>
          <w:sz w:val="18"/>
          <w:szCs w:val="18"/>
        </w:rPr>
        <w:t>hijyen</w:t>
      </w:r>
      <w:proofErr w:type="gram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ihtiya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B7C98">
        <w:rPr>
          <w:rFonts w:ascii="Times New Roman" w:eastAsia="ヒラギノ明朝 Pro W3" w:hAnsi="Times" w:cs="Times New Roman"/>
          <w:sz w:val="18"/>
          <w:szCs w:val="18"/>
        </w:rPr>
        <w:t>beslenmesini</w:t>
      </w:r>
      <w:proofErr w:type="gram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veya emmesini kolayla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layan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ocuk Giysisi: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iziminden,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retimine veya sat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noktas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na kadar, erkek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ocuklarda 182 cm,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ocuklarda 176 cm boya ve 14 ya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na kadar olan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 taraf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ndan giyilmek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retilmi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giysileri de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eren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 giysileri,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d) Genel 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k: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keticinin Korunmas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Piyasa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zetimi Genel 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e)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rtasiye Malzemesi: Kalem, silgi, defter, cetvel, makas, boya malzemeleri, okul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antas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gibi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f)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: Ticari ama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 sunulup sunulmad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n,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keticilere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retilen veya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keticiler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retilmemi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olsa bile,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lebilir ko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ullar alt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keticiler taraf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labilecek yeni, kullan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veya yenilenmi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nleri,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g) Yiyecek Taklidi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n: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olmamalar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men, sahip olduklar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ekil, koku, renk,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m, ambalaj, etiket, hacim veya boyutlar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nedeniyle olduklar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ndan farkl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nen ve bu sebeple de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keticiler,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zellikle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 taraf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nleriyle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larak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keticilerin sa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ini tehlikeye atan mallar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9B7C98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9B7C98" w:rsidRPr="009B7C98" w:rsidRDefault="009B7C98" w:rsidP="009B7C98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B7C98" w:rsidRPr="009B7C98" w:rsidRDefault="009B7C98" w:rsidP="009B7C98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ketici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nlerinin G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venlik Gerekleri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Temel gerekler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in Ek-1 listesinde yer alan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nlerin, insan sa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, can ve mal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i, hayvan ve bitki sa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evre ve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keticinin korunmas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ndan sahip olmas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gereken asgari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venlik ko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zorunludur. Bu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 temel gereklere uygunlu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u,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mleri ile ekindeki listelerde yer alan uyumla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veya referans standartlar dikkate al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narak de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nlerinin temel gerekleri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nlerinin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zerinde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venli ve do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ru kullan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mla ilgili talimatlar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(2) Eri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im alan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un parma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veya herhangi bir uzvunun 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 hi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bir 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 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lu boru,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, delik, 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 tertibat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civata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veya 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 bulunmamas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(3) Metal malzemelerin korozyona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dayan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bir malzemeden yap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veya korozyona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korunmu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(4) Ah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ap esasl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bitki orijinli malzemelerde b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cek tahribat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 bulunmamas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ler,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arabalar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, be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ikler ve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karyolalar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 kilitleme mekanizmas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ile ayarlama sistemi bulunmas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(6) Kenarlar,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eler ve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 yaralanma riskini azaltacak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retilmesi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(7) Kordonlar, ipler ve ba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olarak kullan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lan di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er par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bo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ulma riski olu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turmamas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(8)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nlerinin hareketli par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 fiziksel yaralanma riskini en aza indirecek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retilmesi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Otuzalt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kullanmas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retilmi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nlerinin par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ve ayr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labilir par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n, emme ve/veya nefesle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ekilmesini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nleyecek boyutlarda olmas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(10) Piyasaya arz edilen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nlerinin ambalaj malzemelerinin bo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ulma riski ta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(11)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nlerinin, alev,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lc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 veya ate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kartabilecek maddelerle do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rudan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ya kald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 kolayca yanmayan (ate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nedeni yok olur olmaz alevi 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nen), tutu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unda yava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yanan ve yanma 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resini geciktirici maddelerden yap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(12)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korumak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nlerinin kullan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sonucu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indeki kimyasal maddelerin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nebilir 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toksik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ekstratlar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cuttaki oranlar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(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biyoyararl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>) bir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nde Ek-2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deki tabloda yer alan 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zeyleri ge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memesi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rtasiye malzemelerinin temel gerekleri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rtasiye malzemeleri fiziksel ve kimyasal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zellikleri bak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venli olmak zorundad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rtasiye malzemelerinin par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ve yaylar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 fiziksel yaralanma riskini en aza indirecek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retilmesi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(3) Ah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ap esasl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bitki orijinli malzemelerde b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cek tahribat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 bulunmamas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9B7C98">
        <w:rPr>
          <w:rFonts w:ascii="Times New Roman" w:eastAsia="ヒラギノ明朝 Pro W3" w:hAnsi="Times" w:cs="Times New Roman"/>
          <w:sz w:val="18"/>
          <w:szCs w:val="18"/>
        </w:rPr>
        <w:t>hijyenik</w:t>
      </w:r>
      <w:proofErr w:type="gram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(4)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rtasiye malzemelerinin, Ek-2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deki tabloda yer alan </w:t>
      </w:r>
      <w:proofErr w:type="spellStart"/>
      <w:r w:rsidRPr="009B7C98">
        <w:rPr>
          <w:rFonts w:ascii="Times New Roman" w:eastAsia="ヒラギノ明朝 Pro W3" w:hAnsi="Times" w:cs="Times New Roman"/>
          <w:sz w:val="18"/>
          <w:szCs w:val="18"/>
        </w:rPr>
        <w:t>biyoyararl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proofErr w:type="spell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 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zeylerini ge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memesi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(5) Oyuncak 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na giren ve 36 aydan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risk olu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turabilecek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rtasiye malzemelerinin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zerinde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36 aydan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uygun de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ildir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“Üç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uygun de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ildir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eklinde uyar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>(6) Tekstil ve plastik 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erikli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rtasiye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nlerinin, alev,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lc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 veya ate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kartabilecek maddelerle do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rudan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ya kald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 kolayca yanmayan (ate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nedeni yok olur olmaz alevi 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nen), tutu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unda yava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yanan ve yanma 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resini geciktirici maddelerden yap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ocuk giysilerinin temel gerekleri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giysilerinde yer alan kordon ve b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zme iplerinin, bo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ulma ve fiziki yaralanma riski olu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turmayacak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retilmesi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 giysilerinin, kolay alev almamas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Yiyecek taklidi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nlerin temel gerekleri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(1) Yiyecek taklidi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 ya da ayr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labilir 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n,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keticiler ve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zellikle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ocuklar taraf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za al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, emilmesi ya da yutulmas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halinde bo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ulma, zehirlenme yahut sindirim sisteminde delinmeye veya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kanmaya yol a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B7C98" w:rsidRPr="009B7C98" w:rsidRDefault="009B7C98" w:rsidP="009B7C98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B7C98" w:rsidRPr="009B7C98" w:rsidRDefault="009B7C98" w:rsidP="009B7C98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Yapt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mlerine uyulmamas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durumunda, 4703 say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nlere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kin Teknik Mevzuat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na Dair Kanun 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mleri,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e girmesinden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nce piyasaya arz edilen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nlerinde uygulanmaz. 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ketici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nce piyasaya arz edildi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inin ispat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reticilere aittir.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9B7C98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9B7C98" w:rsidRPr="009B7C98" w:rsidRDefault="009B7C98" w:rsidP="009B7C9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B7C9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B7C9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B7C98" w:rsidRPr="009B7C98" w:rsidRDefault="009B7C98" w:rsidP="009B7C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9B7C98" w:rsidRPr="009B7C98" w:rsidRDefault="009B7C98" w:rsidP="009B7C98">
      <w:pPr>
        <w:tabs>
          <w:tab w:val="left" w:pos="11848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B7C9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Ek-1</w:t>
      </w:r>
    </w:p>
    <w:p w:rsidR="009B7C98" w:rsidRPr="009B7C98" w:rsidRDefault="009B7C98" w:rsidP="009B7C9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B7C9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TEBLİĞ KAPSAMINDAKİ ÜRÜNLER VE İLGİLİ STANDARDLAR</w:t>
      </w:r>
    </w:p>
    <w:p w:rsidR="009B7C98" w:rsidRPr="009B7C98" w:rsidRDefault="009B7C98" w:rsidP="009B7C98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Look w:val="04A0"/>
      </w:tblPr>
      <w:tblGrid>
        <w:gridCol w:w="880"/>
        <w:gridCol w:w="1621"/>
        <w:gridCol w:w="1696"/>
        <w:gridCol w:w="4308"/>
      </w:tblGrid>
      <w:tr w:rsidR="009B7C98" w:rsidRPr="009B7C98">
        <w:trPr>
          <w:trHeight w:val="2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7C98" w:rsidRPr="009B7C98" w:rsidRDefault="009B7C98" w:rsidP="009B7C98">
            <w:pPr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18"/>
                <w:lang w:eastAsia="tr-TR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ÜRÜNÜN ADI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BAŞLICA RİSKLER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UYUMLAŞTIRILMIŞ VEYA REFERANS STANDARDLAR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Çocuk Bakım Ürünleri-Yürüteçler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Boğulma, kesikler, yaralanmalar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</w:t>
            </w: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 EN 1273: 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2007   Çocuk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kullanım ve bakım araçları – Bebek  yürüteçleri - Güvenlik kuralları ve deney yöntemleri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Çocuk Bakım Ürünleri-Taşınabilir Bebek </w:t>
            </w: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Yatakları ve Destekleri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Boğulma, yaralanmalar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EN 1466 +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 :2008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Çocuk bakım eşyaları- Taşınabilir bebek yatakları ve destekleri- Güvenlik kuralları ve deney yöntemleri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lastRenderedPageBreak/>
              <w:t>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Çocuk Bakım Ürünleri-Çocuk Mobilyaları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Kimyasal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EN 1130-1: 2001 Mobilya-Evlerde kullanılan, çocuk karyolası ve beşikler-Bölüm:1 Emniyet kuralları</w:t>
            </w: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EN 1130-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 : 2001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Mobilya-Evlerde kullanılan, çocuk karyolası ve beşikler-Bölüm:2 Deney Metotları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Boğulma, yanma, kesikler, yaralanmalar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Çocuk Bakım Ürünleri-Çocuk Arabaları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Yaralanma, boğulma,</w:t>
            </w:r>
          </w:p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kesikler</w:t>
            </w:r>
            <w:proofErr w:type="gramEnd"/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EN 1888: 2007 Çocuk bakım eşyaları -Tekerlekli çocuk arabaları -Güvenlik kuralları ve deney yöntemleri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Kimyasal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Çocuk Bakım Ürünleri-</w:t>
            </w:r>
            <w:r w:rsidRPr="009B7C98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eastAsia="tr-TR"/>
              </w:rPr>
              <w:t>Emzik Bağlayıcıları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Boğulma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tr-TR"/>
              </w:rPr>
              <w:t xml:space="preserve">TS EN 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tr-TR"/>
              </w:rPr>
              <w:t>12586 : 2007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eastAsia="tr-TR"/>
              </w:rPr>
              <w:t xml:space="preserve"> +A 1: 2011 Çocuk bakım eşyaları-Emzik bağlayıcıları-Güvenlik kuralları ve deney metotları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pacing w:val="-5"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Kimyasal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Kırtasiye Ürünleri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Fiziksel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 EN 71-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:2011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Oyuncak Güvenliği Bölüm 1: Mekanik ve  Fiziksel Özellikler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Yanıklar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 EN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71-2 + A1:2011  Oyuncak Güvenliği- Bölüm 2:  Alevlenebilirlik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Kimyasal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TS 5219 EN 71-3: 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1997  Oyuncak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Güvenliği Bölüm 3: Bazı Elementlerin Göçü</w:t>
            </w: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TS 5219 EN 71-3 / 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A1 :2005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Oyuncak Güvenliği Bölüm 3: Bazı Elementlerin Göçü</w:t>
            </w: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5219 EN 71-3 /AC:2005 Oyuncak Güvenliği Bölüm 3: Bazı Elementlerin Göçü</w:t>
            </w: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5219 EN 71-3/A1/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 :2010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Oyuncak Güvenliği Bölüm 3: Bazı Elementlerin Göçü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EN 71-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 : 2007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Oyuncak Güvenliği- Bölüm 9: Organik Kimyasal Bileşikler- Özellikler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Çocuk Giysileri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Boğulma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TS EN 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14682 :2011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Çocuk giysilerinde güvenlik – Çocuk giysilerinde kullanılan kordon ve büzme ipleri –Özellikler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Yanıklar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EN 14878:2008 Çocuk Geceliği veya Pijamalarının Yanma Davranışı-Özellikler</w:t>
            </w:r>
          </w:p>
          <w:p w:rsidR="009B7C98" w:rsidRPr="009B7C98" w:rsidRDefault="009B7C98" w:rsidP="009B7C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EN 14878 /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 :2010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Çocuk Geceliği veya Pijamalarının Yanma Davranışı-Özellikler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Yiyecek Taklidi Ürünler-</w:t>
            </w:r>
          </w:p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Plastik Dekoratif Eşyalar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Boğulma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TS  EN 71-</w:t>
            </w:r>
            <w:proofErr w:type="gram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:2011</w:t>
            </w:r>
            <w:proofErr w:type="gramEnd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Oyuncak Güvenliği Bölüm 1: Mekanik ve  Fiziksel Özellikler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Yiyecek Taklidi Ürünler-Mıknatıslı Ürünler</w:t>
            </w:r>
          </w:p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Yiyecek Taklidi Ürünler-Oyuncaklar Dışında Kalan Suda Genişleyen Ürünler</w:t>
            </w:r>
          </w:p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Yiyecek Taklidi Ürünler-</w:t>
            </w:r>
          </w:p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Banyo Ürünleri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Zehirlenme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---</w:t>
            </w:r>
          </w:p>
        </w:tc>
      </w:tr>
      <w:tr w:rsidR="009B7C98" w:rsidRPr="009B7C98">
        <w:trPr>
          <w:trHeight w:val="2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lastRenderedPageBreak/>
              <w:t>Yiyecek Taklidi Ürünler-</w:t>
            </w:r>
          </w:p>
          <w:p w:rsidR="009B7C98" w:rsidRPr="009B7C98" w:rsidRDefault="009B7C98" w:rsidP="009B7C9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Dekoratif Mumlar</w:t>
            </w:r>
          </w:p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Zehirlenme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---</w:t>
            </w:r>
          </w:p>
        </w:tc>
      </w:tr>
    </w:tbl>
    <w:p w:rsidR="009B7C98" w:rsidRPr="009B7C98" w:rsidRDefault="009B7C98" w:rsidP="009B7C98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9B7C98" w:rsidRPr="009B7C98" w:rsidRDefault="009B7C98" w:rsidP="009B7C98">
      <w:pPr>
        <w:tabs>
          <w:tab w:val="left" w:pos="2835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B7C9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Ek-2: </w:t>
      </w:r>
      <w:proofErr w:type="spellStart"/>
      <w:r w:rsidRPr="009B7C9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Biyoyararlılık</w:t>
      </w:r>
      <w:proofErr w:type="spellEnd"/>
      <w:r w:rsidRPr="009B7C9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Sınır Düzeyleri</w:t>
      </w:r>
    </w:p>
    <w:tbl>
      <w:tblPr>
        <w:tblW w:w="8505" w:type="dxa"/>
        <w:jc w:val="center"/>
        <w:tblLook w:val="04A0"/>
      </w:tblPr>
      <w:tblGrid>
        <w:gridCol w:w="1224"/>
        <w:gridCol w:w="3543"/>
        <w:gridCol w:w="3738"/>
      </w:tblGrid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Kimyasal Maddelerin Adı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Limit Değeri (mikrogram)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Antimon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0.2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Arsenik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0.1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Baryum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Kadmiyum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0.6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Krom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0.3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Kurşun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0.7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Civa</w:t>
            </w:r>
            <w:proofErr w:type="spellEnd"/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0.5</w:t>
            </w:r>
          </w:p>
        </w:tc>
      </w:tr>
      <w:tr w:rsidR="009B7C98" w:rsidRPr="009B7C98">
        <w:trPr>
          <w:trHeight w:val="19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Selenyum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98" w:rsidRPr="009B7C98" w:rsidRDefault="009B7C98" w:rsidP="009B7C98">
            <w:pPr>
              <w:snapToGrid w:val="0"/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B7C9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</w:t>
            </w:r>
          </w:p>
        </w:tc>
      </w:tr>
    </w:tbl>
    <w:p w:rsidR="009B7C98" w:rsidRDefault="009B7C98">
      <w:pPr>
        <w:rPr>
          <w:rFonts w:asciiTheme="majorHAnsi" w:hAnsiTheme="majorHAnsi"/>
          <w:b/>
          <w:u w:val="single"/>
        </w:rPr>
      </w:pPr>
    </w:p>
    <w:sectPr w:rsidR="009B7C9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34952"/>
    <w:rsid w:val="00095430"/>
    <w:rsid w:val="00174AB0"/>
    <w:rsid w:val="001D713E"/>
    <w:rsid w:val="001F486E"/>
    <w:rsid w:val="001F5635"/>
    <w:rsid w:val="002759FE"/>
    <w:rsid w:val="002E5594"/>
    <w:rsid w:val="00327A1E"/>
    <w:rsid w:val="0036526C"/>
    <w:rsid w:val="003B32F0"/>
    <w:rsid w:val="003F0B86"/>
    <w:rsid w:val="00476A6C"/>
    <w:rsid w:val="00563427"/>
    <w:rsid w:val="005829E0"/>
    <w:rsid w:val="005C483E"/>
    <w:rsid w:val="00627628"/>
    <w:rsid w:val="007471EC"/>
    <w:rsid w:val="007D5C33"/>
    <w:rsid w:val="008A7D71"/>
    <w:rsid w:val="008C11D5"/>
    <w:rsid w:val="008E72F7"/>
    <w:rsid w:val="009B7C98"/>
    <w:rsid w:val="009E1AED"/>
    <w:rsid w:val="00B022B2"/>
    <w:rsid w:val="00B205BA"/>
    <w:rsid w:val="00B35160"/>
    <w:rsid w:val="00B40463"/>
    <w:rsid w:val="00B76B8A"/>
    <w:rsid w:val="00C23953"/>
    <w:rsid w:val="00C33E05"/>
    <w:rsid w:val="00D368A8"/>
    <w:rsid w:val="00D509B8"/>
    <w:rsid w:val="00D8654E"/>
    <w:rsid w:val="00DB59AD"/>
    <w:rsid w:val="00E13049"/>
    <w:rsid w:val="00E15152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1436</Words>
  <Characters>8189</Characters>
  <Application>Microsoft Office Word</Application>
  <DocSecurity>0</DocSecurity>
  <Lines>68</Lines>
  <Paragraphs>19</Paragraphs>
  <ScaleCrop>false</ScaleCrop>
  <Company>TURMOB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41</cp:revision>
  <dcterms:created xsi:type="dcterms:W3CDTF">2012-04-03T05:36:00Z</dcterms:created>
  <dcterms:modified xsi:type="dcterms:W3CDTF">2012-04-20T05:29:00Z</dcterms:modified>
</cp:coreProperties>
</file>