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0247" w:rsidRDefault="00627628">
      <w:pPr>
        <w:rPr>
          <w:rFonts w:ascii="Times New Roman" w:hAnsi="Times New Roman" w:cs="Times New Roman"/>
          <w:sz w:val="20"/>
          <w:szCs w:val="20"/>
        </w:rPr>
      </w:pPr>
    </w:p>
    <w:p w:rsidR="002E5594" w:rsidRPr="00620247" w:rsidRDefault="00620247">
      <w:pPr>
        <w:rPr>
          <w:rFonts w:ascii="Times New Roman" w:hAnsi="Times New Roman" w:cs="Times New Roman"/>
          <w:b/>
          <w:sz w:val="20"/>
          <w:szCs w:val="20"/>
          <w:u w:val="single"/>
        </w:rPr>
      </w:pPr>
      <w:r w:rsidRPr="00620247">
        <w:rPr>
          <w:rFonts w:ascii="Times New Roman" w:hAnsi="Times New Roman" w:cs="Times New Roman"/>
          <w:b/>
          <w:sz w:val="20"/>
          <w:szCs w:val="20"/>
          <w:u w:val="single"/>
        </w:rPr>
        <w:t>09</w:t>
      </w:r>
      <w:r w:rsidR="00997E74" w:rsidRPr="00620247">
        <w:rPr>
          <w:rFonts w:ascii="Times New Roman" w:hAnsi="Times New Roman" w:cs="Times New Roman"/>
          <w:b/>
          <w:sz w:val="20"/>
          <w:szCs w:val="20"/>
          <w:u w:val="single"/>
        </w:rPr>
        <w:t xml:space="preserve"> Mayıs </w:t>
      </w:r>
      <w:r w:rsidR="002E5594" w:rsidRPr="00620247">
        <w:rPr>
          <w:rFonts w:ascii="Times New Roman" w:hAnsi="Times New Roman" w:cs="Times New Roman"/>
          <w:b/>
          <w:sz w:val="20"/>
          <w:szCs w:val="20"/>
          <w:u w:val="single"/>
        </w:rPr>
        <w:t xml:space="preserve">2012, </w:t>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2E5594" w:rsidRPr="00620247">
        <w:rPr>
          <w:rFonts w:ascii="Times New Roman" w:hAnsi="Times New Roman" w:cs="Times New Roman"/>
          <w:b/>
          <w:sz w:val="20"/>
          <w:szCs w:val="20"/>
          <w:u w:val="single"/>
        </w:rPr>
        <w:tab/>
      </w:r>
      <w:r w:rsidR="00016DBE" w:rsidRPr="00620247">
        <w:rPr>
          <w:rFonts w:ascii="Times New Roman" w:hAnsi="Times New Roman" w:cs="Times New Roman"/>
          <w:b/>
          <w:sz w:val="20"/>
          <w:szCs w:val="20"/>
          <w:u w:val="single"/>
        </w:rPr>
        <w:t xml:space="preserve">          </w:t>
      </w:r>
      <w:r w:rsidR="002E04BF" w:rsidRPr="00620247">
        <w:rPr>
          <w:rFonts w:ascii="Times New Roman" w:hAnsi="Times New Roman" w:cs="Times New Roman"/>
          <w:b/>
          <w:sz w:val="20"/>
          <w:szCs w:val="20"/>
          <w:u w:val="single"/>
        </w:rPr>
        <w:tab/>
      </w:r>
      <w:r w:rsidR="002E04BF" w:rsidRPr="00620247">
        <w:rPr>
          <w:rFonts w:ascii="Times New Roman" w:hAnsi="Times New Roman" w:cs="Times New Roman"/>
          <w:b/>
          <w:sz w:val="20"/>
          <w:szCs w:val="20"/>
          <w:u w:val="single"/>
        </w:rPr>
        <w:tab/>
      </w:r>
      <w:r w:rsidR="00016DBE" w:rsidRPr="00620247">
        <w:rPr>
          <w:rFonts w:ascii="Times New Roman" w:hAnsi="Times New Roman" w:cs="Times New Roman"/>
          <w:b/>
          <w:sz w:val="20"/>
          <w:szCs w:val="20"/>
          <w:u w:val="single"/>
        </w:rPr>
        <w:t xml:space="preserve"> </w:t>
      </w:r>
      <w:proofErr w:type="gramStart"/>
      <w:r w:rsidR="002E5594" w:rsidRPr="00620247">
        <w:rPr>
          <w:rFonts w:ascii="Times New Roman" w:hAnsi="Times New Roman" w:cs="Times New Roman"/>
          <w:b/>
          <w:sz w:val="20"/>
          <w:szCs w:val="20"/>
          <w:u w:val="single"/>
        </w:rPr>
        <w:t>Sayı : 282</w:t>
      </w:r>
      <w:r w:rsidRPr="00620247">
        <w:rPr>
          <w:rFonts w:ascii="Times New Roman" w:hAnsi="Times New Roman" w:cs="Times New Roman"/>
          <w:b/>
          <w:sz w:val="20"/>
          <w:szCs w:val="20"/>
          <w:u w:val="single"/>
        </w:rPr>
        <w:t>87</w:t>
      </w:r>
      <w:proofErr w:type="gramEnd"/>
    </w:p>
    <w:p w:rsidR="00776937" w:rsidRPr="00620247"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0247">
        <w:rPr>
          <w:rFonts w:ascii="Times New Roman" w:eastAsia="Times New Roman" w:hAnsi="Times New Roman" w:cs="Times New Roman"/>
          <w:b/>
          <w:sz w:val="20"/>
          <w:szCs w:val="20"/>
          <w:lang w:val="en-GB" w:eastAsia="tr-TR"/>
        </w:rPr>
        <w:tab/>
      </w:r>
    </w:p>
    <w:p w:rsidR="00620247" w:rsidRPr="00620247" w:rsidRDefault="00620247" w:rsidP="00620247">
      <w:pPr>
        <w:tabs>
          <w:tab w:val="left" w:pos="566"/>
          <w:tab w:val="center" w:pos="3543"/>
        </w:tabs>
        <w:rPr>
          <w:rFonts w:ascii="Times New Roman" w:hAnsi="Times New Roman" w:cs="Times New Roman"/>
          <w:sz w:val="20"/>
          <w:szCs w:val="20"/>
        </w:rPr>
      </w:pPr>
      <w:r w:rsidRPr="00620247">
        <w:rPr>
          <w:rStyle w:val="normal10"/>
          <w:rFonts w:ascii="Times New Roman" w:hAnsi="Times New Roman" w:cs="Times New Roman"/>
          <w:b/>
          <w:sz w:val="20"/>
          <w:szCs w:val="20"/>
        </w:rPr>
        <w:t xml:space="preserve">Karar </w:t>
      </w:r>
      <w:proofErr w:type="gramStart"/>
      <w:r w:rsidRPr="00620247">
        <w:rPr>
          <w:rStyle w:val="grame"/>
          <w:rFonts w:ascii="Times New Roman" w:hAnsi="Times New Roman" w:cs="Times New Roman"/>
          <w:b/>
          <w:sz w:val="20"/>
          <w:szCs w:val="20"/>
        </w:rPr>
        <w:t>Sayısı : 2012</w:t>
      </w:r>
      <w:proofErr w:type="gramEnd"/>
      <w:r w:rsidRPr="00620247">
        <w:rPr>
          <w:rStyle w:val="normal10"/>
          <w:rFonts w:ascii="Times New Roman" w:hAnsi="Times New Roman" w:cs="Times New Roman"/>
          <w:b/>
          <w:sz w:val="20"/>
          <w:szCs w:val="20"/>
        </w:rPr>
        <w:t>/3022</w:t>
      </w:r>
    </w:p>
    <w:p w:rsidR="00620247" w:rsidRPr="00620247" w:rsidRDefault="00620247" w:rsidP="00620247">
      <w:pPr>
        <w:rPr>
          <w:rFonts w:ascii="Times New Roman" w:hAnsi="Times New Roman" w:cs="Times New Roman"/>
          <w:sz w:val="20"/>
          <w:szCs w:val="20"/>
        </w:rPr>
      </w:pPr>
      <w:r w:rsidRPr="00620247">
        <w:rPr>
          <w:rFonts w:ascii="Times New Roman" w:hAnsi="Times New Roman" w:cs="Times New Roman"/>
          <w:sz w:val="20"/>
          <w:szCs w:val="20"/>
        </w:rPr>
        <w:t> </w:t>
      </w:r>
    </w:p>
    <w:p w:rsidR="00620247" w:rsidRPr="00620247" w:rsidRDefault="00620247" w:rsidP="00620247">
      <w:pPr>
        <w:tabs>
          <w:tab w:val="left" w:pos="566"/>
          <w:tab w:val="center" w:pos="3543"/>
        </w:tabs>
        <w:jc w:val="both"/>
        <w:rPr>
          <w:rFonts w:ascii="Times New Roman" w:hAnsi="Times New Roman" w:cs="Times New Roman"/>
          <w:sz w:val="20"/>
          <w:szCs w:val="20"/>
        </w:rPr>
      </w:pPr>
      <w:r w:rsidRPr="00620247">
        <w:rPr>
          <w:rStyle w:val="normal10"/>
          <w:rFonts w:ascii="Times New Roman" w:hAnsi="Times New Roman" w:cs="Times New Roman"/>
          <w:sz w:val="20"/>
          <w:szCs w:val="20"/>
        </w:rPr>
        <w:t xml:space="preserve">Kamu iktisadi teşebbüsleri ve bağlı ortaklıklarının 2012 yılına ait Genel Yatırım ve Finansman Programında değişiklik yapılmasına ilişkin ekli Kararın yürürlüğe konulması; Başbakan Yardımcılığının </w:t>
      </w:r>
      <w:proofErr w:type="gramStart"/>
      <w:r w:rsidRPr="00620247">
        <w:rPr>
          <w:rStyle w:val="grame"/>
          <w:rFonts w:ascii="Times New Roman" w:hAnsi="Times New Roman" w:cs="Times New Roman"/>
          <w:sz w:val="20"/>
          <w:szCs w:val="20"/>
        </w:rPr>
        <w:t>16/3/2012</w:t>
      </w:r>
      <w:proofErr w:type="gramEnd"/>
      <w:r w:rsidRPr="00620247">
        <w:rPr>
          <w:rStyle w:val="normal10"/>
          <w:rFonts w:ascii="Times New Roman" w:hAnsi="Times New Roman" w:cs="Times New Roman"/>
          <w:sz w:val="20"/>
          <w:szCs w:val="20"/>
        </w:rPr>
        <w:t xml:space="preserve"> tarihli ve 4864 sayılı yazısı üzerine, 233 sayılı Kanun Hükmünde Kararnamenin 29 uncu maddesine göre, Bakanlar Kurulu’nca 2/4/2012 tarihinde kararlaştırılmıştır.</w:t>
      </w:r>
    </w:p>
    <w:p w:rsidR="00620247" w:rsidRPr="00620247" w:rsidRDefault="00620247" w:rsidP="00620247">
      <w:pPr>
        <w:tabs>
          <w:tab w:val="left" w:pos="566"/>
          <w:tab w:val="center" w:pos="3543"/>
        </w:tabs>
        <w:jc w:val="both"/>
        <w:rPr>
          <w:rFonts w:ascii="Times New Roman" w:hAnsi="Times New Roman" w:cs="Times New Roman"/>
          <w:sz w:val="20"/>
          <w:szCs w:val="20"/>
        </w:rPr>
      </w:pPr>
      <w:r w:rsidRPr="00620247">
        <w:rPr>
          <w:rFonts w:ascii="Times New Roman" w:hAnsi="Times New Roman" w:cs="Times New Roman"/>
          <w:sz w:val="20"/>
          <w:szCs w:val="20"/>
        </w:rPr>
        <w:t> </w:t>
      </w:r>
    </w:p>
    <w:p w:rsidR="00620247" w:rsidRPr="00620247" w:rsidRDefault="00620247" w:rsidP="00620247">
      <w:pPr>
        <w:tabs>
          <w:tab w:val="center" w:pos="6411"/>
        </w:tabs>
        <w:jc w:val="both"/>
        <w:rPr>
          <w:rFonts w:ascii="Times New Roman" w:hAnsi="Times New Roman" w:cs="Times New Roman"/>
          <w:sz w:val="20"/>
          <w:szCs w:val="20"/>
        </w:rPr>
      </w:pPr>
      <w:r w:rsidRPr="00620247">
        <w:rPr>
          <w:rStyle w:val="normal10"/>
          <w:rFonts w:ascii="Times New Roman" w:hAnsi="Times New Roman" w:cs="Times New Roman"/>
          <w:b/>
          <w:sz w:val="20"/>
          <w:szCs w:val="20"/>
        </w:rPr>
        <w:t>Abdullah GÜL</w:t>
      </w:r>
    </w:p>
    <w:p w:rsidR="00620247" w:rsidRPr="00620247" w:rsidRDefault="00620247" w:rsidP="00620247">
      <w:pPr>
        <w:tabs>
          <w:tab w:val="center" w:pos="6411"/>
        </w:tabs>
        <w:jc w:val="both"/>
        <w:rPr>
          <w:rFonts w:ascii="Times New Roman" w:hAnsi="Times New Roman" w:cs="Times New Roman"/>
          <w:sz w:val="20"/>
          <w:szCs w:val="20"/>
        </w:rPr>
      </w:pPr>
      <w:r w:rsidRPr="00620247">
        <w:rPr>
          <w:rStyle w:val="normal10"/>
          <w:rFonts w:ascii="Times New Roman" w:hAnsi="Times New Roman" w:cs="Times New Roman"/>
          <w:sz w:val="20"/>
          <w:szCs w:val="20"/>
        </w:rPr>
        <w:t>CUMHURBAŞKANI</w:t>
      </w:r>
    </w:p>
    <w:p w:rsidR="00620247" w:rsidRPr="00620247" w:rsidRDefault="00620247" w:rsidP="00620247">
      <w:pPr>
        <w:jc w:val="both"/>
        <w:rPr>
          <w:rFonts w:ascii="Times New Roman" w:hAnsi="Times New Roman" w:cs="Times New Roman"/>
          <w:sz w:val="20"/>
          <w:szCs w:val="20"/>
        </w:rPr>
      </w:pPr>
      <w:r w:rsidRPr="00620247">
        <w:rPr>
          <w:rFonts w:ascii="Times New Roman" w:hAnsi="Times New Roman" w:cs="Times New Roman"/>
          <w:sz w:val="20"/>
          <w:szCs w:val="20"/>
        </w:rPr>
        <w:t> </w:t>
      </w:r>
    </w:p>
    <w:p w:rsidR="00620247" w:rsidRPr="00620247" w:rsidRDefault="00620247" w:rsidP="00620247">
      <w:pPr>
        <w:pStyle w:val="2-ortabaslk0"/>
        <w:tabs>
          <w:tab w:val="center" w:pos="2275"/>
          <w:tab w:val="center" w:pos="4615"/>
        </w:tabs>
        <w:spacing w:before="0" w:beforeAutospacing="0" w:after="0" w:afterAutospacing="0" w:line="276" w:lineRule="auto"/>
        <w:jc w:val="center"/>
        <w:rPr>
          <w:sz w:val="20"/>
          <w:szCs w:val="20"/>
        </w:rPr>
      </w:pPr>
      <w:proofErr w:type="gramStart"/>
      <w:r w:rsidRPr="00620247">
        <w:rPr>
          <w:rStyle w:val="grame"/>
          <w:sz w:val="20"/>
          <w:szCs w:val="20"/>
        </w:rPr>
        <w:t>2/4/2012</w:t>
      </w:r>
      <w:proofErr w:type="gramEnd"/>
      <w:r w:rsidRPr="00620247">
        <w:rPr>
          <w:sz w:val="20"/>
          <w:szCs w:val="20"/>
        </w:rPr>
        <w:t xml:space="preserve"> TARİHLİ VE 2012/3022 SAYILI</w:t>
      </w:r>
    </w:p>
    <w:p w:rsidR="00620247" w:rsidRPr="00620247" w:rsidRDefault="00620247" w:rsidP="00620247">
      <w:pPr>
        <w:pStyle w:val="2-ortabaslk0"/>
        <w:tabs>
          <w:tab w:val="center" w:pos="2275"/>
          <w:tab w:val="center" w:pos="4615"/>
        </w:tabs>
        <w:spacing w:before="0" w:beforeAutospacing="0" w:after="0" w:afterAutospacing="0" w:line="276" w:lineRule="auto"/>
        <w:jc w:val="center"/>
        <w:rPr>
          <w:sz w:val="20"/>
          <w:szCs w:val="20"/>
        </w:rPr>
      </w:pPr>
      <w:r w:rsidRPr="00620247">
        <w:rPr>
          <w:sz w:val="20"/>
          <w:szCs w:val="20"/>
        </w:rPr>
        <w:t>KARARNAMENİN EKİ</w:t>
      </w:r>
    </w:p>
    <w:p w:rsidR="00620247" w:rsidRPr="00620247" w:rsidRDefault="00620247" w:rsidP="00620247">
      <w:pPr>
        <w:pStyle w:val="2-ortabaslk0"/>
        <w:tabs>
          <w:tab w:val="center" w:pos="2275"/>
          <w:tab w:val="center" w:pos="4615"/>
        </w:tabs>
        <w:spacing w:before="0" w:beforeAutospacing="0" w:after="0" w:afterAutospacing="0" w:line="276" w:lineRule="auto"/>
        <w:jc w:val="center"/>
        <w:rPr>
          <w:sz w:val="20"/>
          <w:szCs w:val="20"/>
        </w:rPr>
      </w:pPr>
      <w:r w:rsidRPr="00620247">
        <w:rPr>
          <w:sz w:val="20"/>
          <w:szCs w:val="20"/>
        </w:rPr>
        <w:t>KARAR</w:t>
      </w:r>
    </w:p>
    <w:p w:rsidR="00620247" w:rsidRPr="00620247" w:rsidRDefault="00620247" w:rsidP="00620247">
      <w:pPr>
        <w:pStyle w:val="2-ortabaslk0"/>
        <w:spacing w:before="0" w:beforeAutospacing="0" w:after="0" w:afterAutospacing="0" w:line="276" w:lineRule="auto"/>
        <w:jc w:val="center"/>
        <w:rPr>
          <w:sz w:val="20"/>
          <w:szCs w:val="20"/>
        </w:rPr>
      </w:pPr>
      <w:r w:rsidRPr="00620247">
        <w:rPr>
          <w:sz w:val="20"/>
          <w:szCs w:val="20"/>
        </w:rPr>
        <w:t> </w:t>
      </w:r>
    </w:p>
    <w:p w:rsidR="00620247" w:rsidRPr="00620247" w:rsidRDefault="00620247" w:rsidP="00620247">
      <w:pPr>
        <w:tabs>
          <w:tab w:val="left" w:pos="566"/>
          <w:tab w:val="center" w:pos="3543"/>
        </w:tabs>
        <w:jc w:val="both"/>
        <w:rPr>
          <w:rFonts w:ascii="Times New Roman" w:hAnsi="Times New Roman" w:cs="Times New Roman"/>
          <w:sz w:val="20"/>
          <w:szCs w:val="20"/>
        </w:rPr>
      </w:pPr>
      <w:r w:rsidRPr="00620247">
        <w:rPr>
          <w:rStyle w:val="normal10"/>
          <w:rFonts w:ascii="Times New Roman" w:hAnsi="Times New Roman" w:cs="Times New Roman"/>
          <w:b/>
          <w:sz w:val="20"/>
          <w:szCs w:val="20"/>
        </w:rPr>
        <w:t xml:space="preserve">MADDE 1 – </w:t>
      </w:r>
      <w:r w:rsidRPr="00620247">
        <w:rPr>
          <w:rStyle w:val="normal10"/>
          <w:rFonts w:ascii="Times New Roman" w:hAnsi="Times New Roman" w:cs="Times New Roman"/>
          <w:sz w:val="20"/>
          <w:szCs w:val="20"/>
        </w:rPr>
        <w:t xml:space="preserve">Kamu iktisadi teşebbüsleri ve bağlı ortaklıklarının 2012 yılına ait Genel Yatırım ve Finansman Programı hakkındaki </w:t>
      </w:r>
      <w:proofErr w:type="gramStart"/>
      <w:r w:rsidRPr="00620247">
        <w:rPr>
          <w:rStyle w:val="grame"/>
          <w:rFonts w:ascii="Times New Roman" w:hAnsi="Times New Roman" w:cs="Times New Roman"/>
          <w:sz w:val="20"/>
          <w:szCs w:val="20"/>
        </w:rPr>
        <w:t>11/10/2011</w:t>
      </w:r>
      <w:proofErr w:type="gramEnd"/>
      <w:r w:rsidRPr="00620247">
        <w:rPr>
          <w:rStyle w:val="normal10"/>
          <w:rFonts w:ascii="Times New Roman" w:hAnsi="Times New Roman" w:cs="Times New Roman"/>
          <w:sz w:val="20"/>
          <w:szCs w:val="20"/>
        </w:rPr>
        <w:t xml:space="preserve"> tarihli ve 2011/2305 sayılı Kararnamenin eki Kararın 12 </w:t>
      </w:r>
      <w:proofErr w:type="spellStart"/>
      <w:r w:rsidRPr="00620247">
        <w:rPr>
          <w:rStyle w:val="spelle"/>
          <w:rFonts w:ascii="Times New Roman" w:hAnsi="Times New Roman" w:cs="Times New Roman"/>
          <w:sz w:val="20"/>
          <w:szCs w:val="20"/>
        </w:rPr>
        <w:t>nci</w:t>
      </w:r>
      <w:proofErr w:type="spellEnd"/>
      <w:r w:rsidRPr="00620247">
        <w:rPr>
          <w:rStyle w:val="normal10"/>
          <w:rFonts w:ascii="Times New Roman" w:hAnsi="Times New Roman" w:cs="Times New Roman"/>
          <w:sz w:val="20"/>
          <w:szCs w:val="20"/>
        </w:rPr>
        <w:t xml:space="preserve"> maddesinin beşinci fıkrası aşağıdaki şekilde değiştirilmiştir.</w:t>
      </w:r>
    </w:p>
    <w:p w:rsidR="00620247" w:rsidRPr="00620247" w:rsidRDefault="00620247" w:rsidP="00620247">
      <w:pPr>
        <w:jc w:val="both"/>
        <w:rPr>
          <w:rFonts w:ascii="Times New Roman" w:hAnsi="Times New Roman" w:cs="Times New Roman"/>
          <w:sz w:val="20"/>
          <w:szCs w:val="20"/>
        </w:rPr>
      </w:pPr>
      <w:r w:rsidRPr="00620247">
        <w:rPr>
          <w:rFonts w:ascii="Times New Roman" w:hAnsi="Times New Roman" w:cs="Times New Roman"/>
          <w:sz w:val="20"/>
          <w:szCs w:val="20"/>
        </w:rPr>
        <w:t> </w:t>
      </w:r>
      <w:proofErr w:type="gramStart"/>
      <w:r w:rsidRPr="00620247">
        <w:rPr>
          <w:rStyle w:val="grame"/>
          <w:rFonts w:ascii="Times New Roman" w:hAnsi="Times New Roman" w:cs="Times New Roman"/>
          <w:sz w:val="20"/>
          <w:szCs w:val="20"/>
        </w:rPr>
        <w:t xml:space="preserve">"(5) İhracat yapan kamu iktisadi teşebbüslerinin yapacakları ihracat kapsamında dışarıdan alacakları iç ve dış navlun hizmetlerine ilişkin bedeller ile enerji alanında faaliyette bulunan kamu iktisadi teşebbüslerince sistem arz güvenliğinin sağlanması açısından hayati önem taşıyan acil durumlarda, ilgili bakanlığın değerlendirme ve talimatları çerçevesinde yapılması zorunluluk arz eden hizmet alımlarına ilişkin bedeller hizmet alımı tavanı sınırlamalarının dışındadır. </w:t>
      </w:r>
      <w:proofErr w:type="gramEnd"/>
      <w:r w:rsidRPr="00620247">
        <w:rPr>
          <w:rStyle w:val="normal10"/>
          <w:rFonts w:ascii="Times New Roman" w:hAnsi="Times New Roman" w:cs="Times New Roman"/>
          <w:sz w:val="20"/>
          <w:szCs w:val="20"/>
        </w:rPr>
        <w:t>Bu kapsamda yapılan hizmet alım tutarları ve hizmet alımlarının mahiyeti Müsteşarlığa bildirilir."</w:t>
      </w:r>
    </w:p>
    <w:p w:rsidR="00620247" w:rsidRPr="00620247" w:rsidRDefault="00620247" w:rsidP="00620247">
      <w:pPr>
        <w:jc w:val="both"/>
        <w:rPr>
          <w:rFonts w:ascii="Times New Roman" w:hAnsi="Times New Roman" w:cs="Times New Roman"/>
          <w:sz w:val="20"/>
          <w:szCs w:val="20"/>
        </w:rPr>
      </w:pPr>
      <w:r w:rsidRPr="00620247">
        <w:rPr>
          <w:rFonts w:ascii="Times New Roman" w:hAnsi="Times New Roman" w:cs="Times New Roman"/>
          <w:sz w:val="20"/>
          <w:szCs w:val="20"/>
        </w:rPr>
        <w:t> </w:t>
      </w:r>
      <w:r w:rsidRPr="00620247">
        <w:rPr>
          <w:rStyle w:val="normal10"/>
          <w:rFonts w:ascii="Times New Roman" w:hAnsi="Times New Roman" w:cs="Times New Roman"/>
          <w:b/>
          <w:sz w:val="20"/>
          <w:szCs w:val="20"/>
        </w:rPr>
        <w:t xml:space="preserve">MADDE 2 – </w:t>
      </w:r>
      <w:r w:rsidRPr="00620247">
        <w:rPr>
          <w:rStyle w:val="normal10"/>
          <w:rFonts w:ascii="Times New Roman" w:hAnsi="Times New Roman" w:cs="Times New Roman"/>
          <w:sz w:val="20"/>
          <w:szCs w:val="20"/>
        </w:rPr>
        <w:t xml:space="preserve">Bu Karar </w:t>
      </w:r>
      <w:proofErr w:type="gramStart"/>
      <w:r w:rsidRPr="00620247">
        <w:rPr>
          <w:rStyle w:val="grame"/>
          <w:rFonts w:ascii="Times New Roman" w:hAnsi="Times New Roman" w:cs="Times New Roman"/>
          <w:sz w:val="20"/>
          <w:szCs w:val="20"/>
        </w:rPr>
        <w:t>1/1/2012</w:t>
      </w:r>
      <w:proofErr w:type="gramEnd"/>
      <w:r w:rsidRPr="00620247">
        <w:rPr>
          <w:rStyle w:val="normal10"/>
          <w:rFonts w:ascii="Times New Roman" w:hAnsi="Times New Roman" w:cs="Times New Roman"/>
          <w:sz w:val="20"/>
          <w:szCs w:val="20"/>
        </w:rPr>
        <w:t xml:space="preserve"> tarihinden geçerli olmak üzere yayımı tarihinde yürürlüğe girer.</w:t>
      </w:r>
    </w:p>
    <w:p w:rsidR="00620247" w:rsidRPr="00620247" w:rsidRDefault="00620247" w:rsidP="00620247">
      <w:pPr>
        <w:jc w:val="both"/>
        <w:rPr>
          <w:rFonts w:ascii="Times New Roman" w:hAnsi="Times New Roman" w:cs="Times New Roman"/>
          <w:sz w:val="20"/>
          <w:szCs w:val="20"/>
        </w:rPr>
      </w:pPr>
      <w:r w:rsidRPr="00620247">
        <w:rPr>
          <w:rFonts w:ascii="Times New Roman" w:hAnsi="Times New Roman" w:cs="Times New Roman"/>
          <w:sz w:val="20"/>
          <w:szCs w:val="20"/>
        </w:rPr>
        <w:t> </w:t>
      </w:r>
      <w:r w:rsidRPr="00620247">
        <w:rPr>
          <w:rStyle w:val="normal10"/>
          <w:rFonts w:ascii="Times New Roman" w:hAnsi="Times New Roman" w:cs="Times New Roman"/>
          <w:b/>
          <w:sz w:val="20"/>
          <w:szCs w:val="20"/>
        </w:rPr>
        <w:t xml:space="preserve">MADDE 3 – </w:t>
      </w:r>
      <w:r w:rsidRPr="00620247">
        <w:rPr>
          <w:rStyle w:val="normal10"/>
          <w:rFonts w:ascii="Times New Roman" w:hAnsi="Times New Roman" w:cs="Times New Roman"/>
          <w:sz w:val="20"/>
          <w:szCs w:val="20"/>
        </w:rPr>
        <w:t>Bu Karar hükümlerini Hazine Müsteşarlığının bağlı olduğu Bakan yürütür.</w:t>
      </w:r>
    </w:p>
    <w:p w:rsidR="00620247" w:rsidRPr="00620247" w:rsidRDefault="00620247" w:rsidP="00620247">
      <w:pPr>
        <w:ind w:firstLine="566"/>
        <w:jc w:val="both"/>
        <w:rPr>
          <w:rFonts w:ascii="Times New Roman" w:hAnsi="Times New Roman" w:cs="Times New Roman"/>
          <w:sz w:val="20"/>
          <w:szCs w:val="20"/>
        </w:rPr>
      </w:pPr>
      <w:r w:rsidRPr="00620247">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20247" w:rsidRPr="00620247">
        <w:trPr>
          <w:trHeight w:val="375"/>
          <w:jc w:val="center"/>
        </w:trPr>
        <w:tc>
          <w:tcPr>
            <w:tcW w:w="8505" w:type="dxa"/>
            <w:gridSpan w:val="2"/>
            <w:tcBorders>
              <w:top w:val="single" w:sz="4" w:space="0" w:color="auto"/>
              <w:left w:val="single" w:sz="4" w:space="0" w:color="auto"/>
              <w:bottom w:val="single" w:sz="6" w:space="0" w:color="CCCCCC"/>
              <w:right w:val="single" w:sz="4" w:space="0" w:color="auto"/>
            </w:tcBorders>
            <w:hideMark/>
          </w:tcPr>
          <w:p w:rsidR="00620247" w:rsidRPr="00620247" w:rsidRDefault="00620247">
            <w:pPr>
              <w:pStyle w:val="3-normalyaz0"/>
              <w:spacing w:before="0" w:beforeAutospacing="0" w:after="0" w:afterAutospacing="0" w:line="276" w:lineRule="auto"/>
              <w:jc w:val="center"/>
              <w:rPr>
                <w:sz w:val="20"/>
                <w:szCs w:val="20"/>
              </w:rPr>
            </w:pPr>
            <w:r w:rsidRPr="00620247">
              <w:rPr>
                <w:b/>
                <w:sz w:val="20"/>
                <w:szCs w:val="20"/>
              </w:rPr>
              <w:t>Bakanlar Kurulu Kararının Yayımlandığı Resmî Gazetenin</w:t>
            </w:r>
          </w:p>
        </w:tc>
      </w:tr>
      <w:tr w:rsidR="00620247" w:rsidRPr="00620247">
        <w:trPr>
          <w:trHeight w:val="375"/>
          <w:jc w:val="center"/>
        </w:trPr>
        <w:tc>
          <w:tcPr>
            <w:tcW w:w="4254" w:type="dxa"/>
            <w:tcBorders>
              <w:top w:val="single" w:sz="6" w:space="0" w:color="CCCCCC"/>
              <w:left w:val="single" w:sz="4" w:space="0" w:color="auto"/>
              <w:bottom w:val="single" w:sz="4" w:space="0" w:color="auto"/>
              <w:right w:val="single" w:sz="6" w:space="0" w:color="CCCCCC"/>
            </w:tcBorders>
            <w:hideMark/>
          </w:tcPr>
          <w:p w:rsidR="00620247" w:rsidRPr="00620247" w:rsidRDefault="00620247">
            <w:pPr>
              <w:pStyle w:val="3-normalyaz0"/>
              <w:spacing w:before="0" w:beforeAutospacing="0" w:after="0" w:afterAutospacing="0" w:line="276" w:lineRule="auto"/>
              <w:jc w:val="center"/>
              <w:rPr>
                <w:sz w:val="20"/>
                <w:szCs w:val="20"/>
              </w:rPr>
            </w:pPr>
            <w:r w:rsidRPr="00620247">
              <w:rPr>
                <w:b/>
                <w:sz w:val="20"/>
                <w:szCs w:val="20"/>
              </w:rPr>
              <w:t>Tarihi</w:t>
            </w:r>
          </w:p>
        </w:tc>
        <w:tc>
          <w:tcPr>
            <w:tcW w:w="4251" w:type="dxa"/>
            <w:tcBorders>
              <w:top w:val="single" w:sz="6" w:space="0" w:color="CCCCCC"/>
              <w:left w:val="single" w:sz="6" w:space="0" w:color="CCCCCC"/>
              <w:bottom w:val="single" w:sz="4" w:space="0" w:color="auto"/>
              <w:right w:val="single" w:sz="4" w:space="0" w:color="auto"/>
            </w:tcBorders>
            <w:hideMark/>
          </w:tcPr>
          <w:p w:rsidR="00620247" w:rsidRPr="00620247" w:rsidRDefault="00620247">
            <w:pPr>
              <w:pStyle w:val="3-normalyaz0"/>
              <w:spacing w:before="0" w:beforeAutospacing="0" w:after="0" w:afterAutospacing="0" w:line="276" w:lineRule="auto"/>
              <w:jc w:val="center"/>
              <w:rPr>
                <w:sz w:val="20"/>
                <w:szCs w:val="20"/>
              </w:rPr>
            </w:pPr>
            <w:r w:rsidRPr="00620247">
              <w:rPr>
                <w:b/>
                <w:sz w:val="20"/>
                <w:szCs w:val="20"/>
              </w:rPr>
              <w:t>Sayısı</w:t>
            </w:r>
          </w:p>
        </w:tc>
      </w:tr>
      <w:tr w:rsidR="00620247" w:rsidRPr="00620247">
        <w:trPr>
          <w:trHeight w:val="375"/>
          <w:jc w:val="center"/>
        </w:trPr>
        <w:tc>
          <w:tcPr>
            <w:tcW w:w="4254" w:type="dxa"/>
            <w:tcBorders>
              <w:top w:val="single" w:sz="4" w:space="0" w:color="auto"/>
              <w:left w:val="single" w:sz="4" w:space="0" w:color="auto"/>
              <w:bottom w:val="single" w:sz="4" w:space="0" w:color="auto"/>
              <w:right w:val="single" w:sz="4" w:space="0" w:color="auto"/>
            </w:tcBorders>
            <w:hideMark/>
          </w:tcPr>
          <w:p w:rsidR="00620247" w:rsidRPr="00620247" w:rsidRDefault="00620247">
            <w:pPr>
              <w:pStyle w:val="3-normalyaz0"/>
              <w:spacing w:before="0" w:beforeAutospacing="0" w:after="0" w:afterAutospacing="0" w:line="276" w:lineRule="auto"/>
              <w:jc w:val="center"/>
              <w:rPr>
                <w:sz w:val="20"/>
                <w:szCs w:val="20"/>
              </w:rPr>
            </w:pPr>
            <w:proofErr w:type="gramStart"/>
            <w:r w:rsidRPr="00620247">
              <w:rPr>
                <w:rStyle w:val="grame"/>
                <w:sz w:val="20"/>
                <w:szCs w:val="20"/>
              </w:rPr>
              <w:t>27/10/2011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20247" w:rsidRPr="00620247" w:rsidRDefault="00620247">
            <w:pPr>
              <w:pStyle w:val="3-normalyaz0"/>
              <w:spacing w:before="0" w:beforeAutospacing="0" w:after="0" w:afterAutospacing="0" w:line="276" w:lineRule="auto"/>
              <w:jc w:val="center"/>
              <w:rPr>
                <w:sz w:val="20"/>
                <w:szCs w:val="20"/>
              </w:rPr>
            </w:pPr>
            <w:r w:rsidRPr="00620247">
              <w:rPr>
                <w:sz w:val="20"/>
                <w:szCs w:val="20"/>
              </w:rPr>
              <w:t>28097</w:t>
            </w:r>
          </w:p>
        </w:tc>
      </w:tr>
    </w:tbl>
    <w:p w:rsidR="00620247" w:rsidRPr="00620247" w:rsidRDefault="0062024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620247" w:rsidRPr="0062024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C0734"/>
    <w:rsid w:val="005C073A"/>
    <w:rsid w:val="005C483E"/>
    <w:rsid w:val="00620247"/>
    <w:rsid w:val="00627628"/>
    <w:rsid w:val="00662288"/>
    <w:rsid w:val="00665A61"/>
    <w:rsid w:val="006B2A64"/>
    <w:rsid w:val="006D0CC9"/>
    <w:rsid w:val="006D465D"/>
    <w:rsid w:val="007471EC"/>
    <w:rsid w:val="00776937"/>
    <w:rsid w:val="007D5C33"/>
    <w:rsid w:val="008A7D71"/>
    <w:rsid w:val="008E72F7"/>
    <w:rsid w:val="009727FC"/>
    <w:rsid w:val="0099659B"/>
    <w:rsid w:val="00997E74"/>
    <w:rsid w:val="009A7294"/>
    <w:rsid w:val="009E1AED"/>
    <w:rsid w:val="00B022B2"/>
    <w:rsid w:val="00B205BA"/>
    <w:rsid w:val="00B35160"/>
    <w:rsid w:val="00B3700A"/>
    <w:rsid w:val="00B40463"/>
    <w:rsid w:val="00B455B8"/>
    <w:rsid w:val="00B66A9C"/>
    <w:rsid w:val="00B76B8A"/>
    <w:rsid w:val="00C17CDD"/>
    <w:rsid w:val="00C230B1"/>
    <w:rsid w:val="00C23953"/>
    <w:rsid w:val="00C33E05"/>
    <w:rsid w:val="00C51D2F"/>
    <w:rsid w:val="00CA4DF3"/>
    <w:rsid w:val="00CF57E4"/>
    <w:rsid w:val="00D368A8"/>
    <w:rsid w:val="00D509B8"/>
    <w:rsid w:val="00D8654E"/>
    <w:rsid w:val="00D90778"/>
    <w:rsid w:val="00E13049"/>
    <w:rsid w:val="00E14FBD"/>
    <w:rsid w:val="00E15152"/>
    <w:rsid w:val="00E40D4D"/>
    <w:rsid w:val="00E42DD7"/>
    <w:rsid w:val="00E72905"/>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1397</Characters>
  <Application>Microsoft Office Word</Application>
  <DocSecurity>0</DocSecurity>
  <Lines>11</Lines>
  <Paragraphs>3</Paragraphs>
  <ScaleCrop>false</ScaleCrop>
  <Company>TURMOB</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77</cp:revision>
  <dcterms:created xsi:type="dcterms:W3CDTF">2012-04-03T05:36:00Z</dcterms:created>
  <dcterms:modified xsi:type="dcterms:W3CDTF">2012-05-09T05:40:00Z</dcterms:modified>
</cp:coreProperties>
</file>