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2341E" w:rsidRDefault="00627628">
      <w:pPr>
        <w:rPr>
          <w:rFonts w:ascii="Times New Roman" w:hAnsi="Times New Roman" w:cs="Times New Roman"/>
          <w:sz w:val="20"/>
          <w:szCs w:val="20"/>
        </w:rPr>
      </w:pPr>
    </w:p>
    <w:p w:rsidR="002E5594" w:rsidRPr="0062341E" w:rsidRDefault="00223D87">
      <w:pPr>
        <w:rPr>
          <w:rFonts w:ascii="Times New Roman" w:hAnsi="Times New Roman" w:cs="Times New Roman"/>
          <w:b/>
          <w:sz w:val="20"/>
          <w:szCs w:val="20"/>
          <w:u w:val="single"/>
        </w:rPr>
      </w:pPr>
      <w:r>
        <w:rPr>
          <w:rFonts w:ascii="Times New Roman" w:hAnsi="Times New Roman" w:cs="Times New Roman"/>
          <w:b/>
          <w:sz w:val="20"/>
          <w:szCs w:val="20"/>
          <w:u w:val="single"/>
        </w:rPr>
        <w:t>18</w:t>
      </w:r>
      <w:r w:rsidR="000F54C7">
        <w:rPr>
          <w:rFonts w:ascii="Times New Roman" w:hAnsi="Times New Roman" w:cs="Times New Roman"/>
          <w:b/>
          <w:sz w:val="20"/>
          <w:szCs w:val="20"/>
          <w:u w:val="single"/>
        </w:rPr>
        <w:t xml:space="preserve"> </w:t>
      </w:r>
      <w:r w:rsidR="00997E74" w:rsidRPr="0062341E">
        <w:rPr>
          <w:rFonts w:ascii="Times New Roman" w:hAnsi="Times New Roman" w:cs="Times New Roman"/>
          <w:b/>
          <w:sz w:val="20"/>
          <w:szCs w:val="20"/>
          <w:u w:val="single"/>
        </w:rPr>
        <w:t xml:space="preserve"> Mayıs </w:t>
      </w:r>
      <w:r w:rsidR="002E5594" w:rsidRPr="0062341E">
        <w:rPr>
          <w:rFonts w:ascii="Times New Roman" w:hAnsi="Times New Roman" w:cs="Times New Roman"/>
          <w:b/>
          <w:sz w:val="20"/>
          <w:szCs w:val="20"/>
          <w:u w:val="single"/>
        </w:rPr>
        <w:t xml:space="preserve">2012, </w:t>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2E5594"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r w:rsidR="002E04BF" w:rsidRPr="0062341E">
        <w:rPr>
          <w:rFonts w:ascii="Times New Roman" w:hAnsi="Times New Roman" w:cs="Times New Roman"/>
          <w:b/>
          <w:sz w:val="20"/>
          <w:szCs w:val="20"/>
          <w:u w:val="single"/>
        </w:rPr>
        <w:tab/>
      </w:r>
      <w:r w:rsidR="002E04BF" w:rsidRPr="0062341E">
        <w:rPr>
          <w:rFonts w:ascii="Times New Roman" w:hAnsi="Times New Roman" w:cs="Times New Roman"/>
          <w:b/>
          <w:sz w:val="20"/>
          <w:szCs w:val="20"/>
          <w:u w:val="single"/>
        </w:rPr>
        <w:tab/>
      </w:r>
      <w:r w:rsidR="00016DBE" w:rsidRPr="0062341E">
        <w:rPr>
          <w:rFonts w:ascii="Times New Roman" w:hAnsi="Times New Roman" w:cs="Times New Roman"/>
          <w:b/>
          <w:sz w:val="20"/>
          <w:szCs w:val="20"/>
          <w:u w:val="single"/>
        </w:rPr>
        <w:t xml:space="preserve"> </w:t>
      </w:r>
      <w:proofErr w:type="gramStart"/>
      <w:r w:rsidR="002E5594" w:rsidRPr="0062341E">
        <w:rPr>
          <w:rFonts w:ascii="Times New Roman" w:hAnsi="Times New Roman" w:cs="Times New Roman"/>
          <w:b/>
          <w:sz w:val="20"/>
          <w:szCs w:val="20"/>
          <w:u w:val="single"/>
        </w:rPr>
        <w:t>Sayı : 282</w:t>
      </w:r>
      <w:r>
        <w:rPr>
          <w:rFonts w:ascii="Times New Roman" w:hAnsi="Times New Roman" w:cs="Times New Roman"/>
          <w:b/>
          <w:sz w:val="20"/>
          <w:szCs w:val="20"/>
          <w:u w:val="single"/>
        </w:rPr>
        <w:t>96</w:t>
      </w:r>
      <w:proofErr w:type="gramEnd"/>
    </w:p>
    <w:p w:rsidR="00776937" w:rsidRDefault="0077693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62341E">
        <w:rPr>
          <w:rFonts w:ascii="Times New Roman" w:eastAsia="Times New Roman" w:hAnsi="Times New Roman" w:cs="Times New Roman"/>
          <w:b/>
          <w:sz w:val="20"/>
          <w:szCs w:val="20"/>
          <w:lang w:val="en-GB" w:eastAsia="tr-TR"/>
        </w:rPr>
        <w:tab/>
      </w:r>
    </w:p>
    <w:p w:rsidR="00223D87" w:rsidRDefault="00223D87" w:rsidP="00223D87">
      <w:pPr>
        <w:pStyle w:val="2-OrtaBaslk"/>
        <w:spacing w:line="240" w:lineRule="exact"/>
        <w:rPr>
          <w:rFonts w:hAnsi="Times New Roman"/>
          <w:sz w:val="18"/>
          <w:szCs w:val="18"/>
        </w:rPr>
      </w:pPr>
      <w:r>
        <w:rPr>
          <w:rFonts w:hAnsi="Times New Roman"/>
          <w:sz w:val="18"/>
          <w:szCs w:val="18"/>
        </w:rPr>
        <w:t>TAPU KANUNU VE KADASTRO KANUNUNDA DEĞİŞİKLİK</w:t>
      </w:r>
    </w:p>
    <w:p w:rsidR="00223D87" w:rsidRDefault="00223D87" w:rsidP="00223D87">
      <w:pPr>
        <w:pStyle w:val="2-OrtaBaslk"/>
        <w:spacing w:line="240" w:lineRule="exact"/>
        <w:rPr>
          <w:rFonts w:hAnsi="Times New Roman"/>
          <w:sz w:val="18"/>
          <w:szCs w:val="18"/>
        </w:rPr>
      </w:pPr>
      <w:r>
        <w:rPr>
          <w:rFonts w:hAnsi="Times New Roman"/>
          <w:sz w:val="18"/>
          <w:szCs w:val="18"/>
        </w:rPr>
        <w:t>YAPILMASINA İLİŞKİN KANUN</w:t>
      </w:r>
    </w:p>
    <w:p w:rsidR="00223D87" w:rsidRDefault="00223D87" w:rsidP="00223D87">
      <w:pPr>
        <w:pStyle w:val="3-NormalYaz"/>
        <w:tabs>
          <w:tab w:val="right" w:pos="8391"/>
        </w:tabs>
        <w:spacing w:line="240" w:lineRule="exact"/>
        <w:rPr>
          <w:rFonts w:hAnsi="Times New Roman"/>
          <w:b/>
          <w:sz w:val="18"/>
          <w:szCs w:val="18"/>
          <w:u w:val="single"/>
        </w:rPr>
      </w:pPr>
      <w:r>
        <w:rPr>
          <w:rFonts w:hAnsi="Times New Roman"/>
          <w:b/>
          <w:sz w:val="18"/>
          <w:szCs w:val="18"/>
        </w:rPr>
        <w:tab/>
      </w:r>
      <w:r>
        <w:rPr>
          <w:rFonts w:hAnsi="Times New Roman"/>
          <w:b/>
          <w:sz w:val="18"/>
          <w:szCs w:val="18"/>
          <w:u w:val="single"/>
        </w:rPr>
        <w:t>Kanun No. 6302</w:t>
      </w:r>
      <w:r>
        <w:rPr>
          <w:rFonts w:hAnsi="Times New Roman"/>
          <w:b/>
          <w:sz w:val="18"/>
          <w:szCs w:val="18"/>
        </w:rPr>
        <w:tab/>
      </w:r>
      <w:r>
        <w:rPr>
          <w:rFonts w:hAnsi="Times New Roman"/>
          <w:b/>
          <w:sz w:val="18"/>
          <w:szCs w:val="18"/>
          <w:u w:val="single"/>
        </w:rPr>
        <w:t xml:space="preserve">Kabul Tarihi: </w:t>
      </w:r>
      <w:proofErr w:type="gramStart"/>
      <w:r>
        <w:rPr>
          <w:rFonts w:hAnsi="Times New Roman"/>
          <w:b/>
          <w:sz w:val="18"/>
          <w:szCs w:val="18"/>
          <w:u w:val="single"/>
        </w:rPr>
        <w:t>3/5/2012</w:t>
      </w:r>
      <w:proofErr w:type="gramEnd"/>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1 – </w:t>
      </w:r>
      <w:proofErr w:type="gramStart"/>
      <w:r>
        <w:rPr>
          <w:rFonts w:hAnsi="Times New Roman"/>
          <w:sz w:val="18"/>
          <w:szCs w:val="18"/>
        </w:rPr>
        <w:t>22/12/1934</w:t>
      </w:r>
      <w:proofErr w:type="gramEnd"/>
      <w:r>
        <w:rPr>
          <w:rFonts w:hAnsi="Times New Roman"/>
          <w:sz w:val="18"/>
          <w:szCs w:val="18"/>
        </w:rPr>
        <w:t xml:space="preserve"> tarihli ve 2644 sayılı Tapu Kanununun 35 inci maddesi aşağıdaki şekilde değiştirilmiştir.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“MADDE 35 – Kanuni sınırlamalara uyulmak kaydıyla, uluslararası ikili ilişkiler yönünden ve ülke menfaatlerinin gerektirdiği hallerde Bakanlar Kurulu tarafından belirlenen ülkelerin vatandaşı olan yabancı uyruklu gerçek kişiler Türkiye’de taşınmaz ve sınırlı ayni hak edinebilirler. Yabancı uyruklu gerçek kişilerin edindikleri taşınmazlar ile bağımsız ve sürekli nitelikteki sınırlı ayni hakların toplam alanı, özel mülkiyete konu ilçe yüz ölçümünün yüzde onunu ve kişi başına ülke genelinde otuz hektarı geçemez. Bakanlar Kurulu kişi başına ülke genelinde edinilebilecek miktarı iki katına kadar artırmaya yetkilidir.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 xml:space="preserve">Yabancı ülkelerde kendi ülkelerinin kanunlarına göre kurulan tüzel kişiliğe sahip ticaret şirketleri ancak özel kanun hükümleri çerçevesinde taşınmaz ve sınırlı ayni hak edinebilirler. Bu ticaret şirketleri dışındakiler taşınmaz edinemez ve lehlerine sınırlı ayni hak tesis edilemez. Bu ticaret şirketleri ile yabancı uyruklu gerçek kişiler lehine taşınmaz </w:t>
      </w:r>
      <w:proofErr w:type="spellStart"/>
      <w:r>
        <w:rPr>
          <w:rFonts w:hAnsi="Times New Roman"/>
          <w:sz w:val="18"/>
          <w:szCs w:val="18"/>
        </w:rPr>
        <w:t>rehni</w:t>
      </w:r>
      <w:proofErr w:type="spellEnd"/>
      <w:r>
        <w:rPr>
          <w:rFonts w:hAnsi="Times New Roman"/>
          <w:sz w:val="18"/>
          <w:szCs w:val="18"/>
        </w:rPr>
        <w:t xml:space="preserve"> tesisinde bu maddede yer alan sınırlamalar uygulanmaz.</w:t>
      </w:r>
    </w:p>
    <w:p w:rsidR="00223D87" w:rsidRDefault="00223D87" w:rsidP="00223D87">
      <w:pPr>
        <w:pStyle w:val="3-NormalYaz"/>
        <w:spacing w:line="240" w:lineRule="exact"/>
        <w:ind w:firstLine="566"/>
        <w:rPr>
          <w:rFonts w:hAnsi="Times New Roman"/>
          <w:sz w:val="18"/>
          <w:szCs w:val="18"/>
        </w:rPr>
      </w:pPr>
      <w:proofErr w:type="gramStart"/>
      <w:r>
        <w:rPr>
          <w:rFonts w:hAnsi="Times New Roman"/>
          <w:sz w:val="18"/>
          <w:szCs w:val="18"/>
        </w:rPr>
        <w:t xml:space="preserve">Bakanlar Kurulu, ülke menfaatlerinin gerektiği hallerde yabancı uyruklu gerçek kişiler ile yabancı ülkelerde kendi ülkelerinin kanunlarına göre kurulan tüzel kişiliğe sahip ticaret şirketlerinin taşınmaz ve sınırlı ayni hak edinimlerini; ülke, kişi, coğrafi bölge, süre, sayı, oran, tür, nitelik, </w:t>
      </w:r>
      <w:proofErr w:type="spellStart"/>
      <w:r>
        <w:rPr>
          <w:rFonts w:hAnsi="Times New Roman"/>
          <w:sz w:val="18"/>
          <w:szCs w:val="18"/>
        </w:rPr>
        <w:t>yüzölçüm</w:t>
      </w:r>
      <w:proofErr w:type="spellEnd"/>
      <w:r>
        <w:rPr>
          <w:rFonts w:hAnsi="Times New Roman"/>
          <w:sz w:val="18"/>
          <w:szCs w:val="18"/>
        </w:rPr>
        <w:t xml:space="preserve"> ve miktar olarak belirleyebilir, sınırlandırabilir, kısmen veya tamamen durdurabilir veya yasaklayabilir.</w:t>
      </w:r>
      <w:proofErr w:type="gramEnd"/>
    </w:p>
    <w:p w:rsidR="00223D87" w:rsidRDefault="00223D87" w:rsidP="00223D87">
      <w:pPr>
        <w:pStyle w:val="3-NormalYaz"/>
        <w:spacing w:line="240" w:lineRule="exact"/>
        <w:ind w:firstLine="566"/>
        <w:rPr>
          <w:rFonts w:hAnsi="Times New Roman"/>
          <w:sz w:val="18"/>
          <w:szCs w:val="18"/>
        </w:rPr>
      </w:pPr>
      <w:r>
        <w:rPr>
          <w:rFonts w:hAnsi="Times New Roman"/>
          <w:sz w:val="18"/>
          <w:szCs w:val="18"/>
        </w:rPr>
        <w:t>Yabancı uyruklu gerçek kişiler ve yabancı ülkelerde kendi ülkelerinin kanunlarına göre kurulan tüzel kişiliğe sahip ticaret şirketleri, satın aldıkları yapısız taşınmazda geliştireceği projeyi iki yıl içinde ilgili Bakanlığın onayına sunmak zorundadır. İlgili Bakanlıkça başlama ve bitirilme süresi belirlenerek onaylanan proje tapu kütüğünün beyanlar hanesine kaydedilmek üzere taşınmazın bulunduğu tapu müdürlüğüne gönderilir. Onaylanan projenin süresi içinde gerçekleştirilip gerçekleştirilmediği ilgili Bakanlıkça takip edilir.</w:t>
      </w:r>
    </w:p>
    <w:p w:rsidR="00223D87" w:rsidRDefault="00223D87" w:rsidP="00223D87">
      <w:pPr>
        <w:pStyle w:val="3-NormalYaz"/>
        <w:spacing w:line="240" w:lineRule="exact"/>
        <w:ind w:firstLine="566"/>
        <w:rPr>
          <w:rFonts w:hAnsi="Times New Roman"/>
          <w:sz w:val="18"/>
          <w:szCs w:val="18"/>
        </w:rPr>
      </w:pPr>
      <w:proofErr w:type="gramStart"/>
      <w:r>
        <w:rPr>
          <w:rFonts w:hAnsi="Times New Roman"/>
          <w:sz w:val="18"/>
          <w:szCs w:val="18"/>
        </w:rPr>
        <w:t xml:space="preserve">Askeri yasak bölgeler, askeri güvenlik bölgeleri ile stratejik bölgelere ait harita ve koordinat değerleri bu Kanunun yürürlük tarihinden itibaren en geç bir yıl içinde ve bu yerlere ait değişiklik kararlarına ait harita ve koordinat değerleri değişikliklerin yapıldığı tarihten itibaren bir ay içinde Millî Savunma Bakanlığınca, özel güvenlik bölgeleri ve değişiklik kararlarına ait harita ve koordinat değerleri ise İçişleri Bakanlığınca aynı sürede Tapu ve Kadastro Genel Müdürlüğünün bağlı olduğu Bakanlığa verilir. </w:t>
      </w:r>
      <w:proofErr w:type="gramEnd"/>
      <w:r>
        <w:rPr>
          <w:rFonts w:hAnsi="Times New Roman"/>
          <w:sz w:val="18"/>
          <w:szCs w:val="18"/>
        </w:rPr>
        <w:t>Bu Kanunun yürürlük tarihinden itibaren bir yıl sonra bu fıkra uyarınca gönderilen belge ve bilgilere göre tapu işlemleri yürütülür.</w:t>
      </w:r>
    </w:p>
    <w:p w:rsidR="00223D87" w:rsidRDefault="00223D87" w:rsidP="00223D87">
      <w:pPr>
        <w:pStyle w:val="3-NormalYaz"/>
        <w:spacing w:line="240" w:lineRule="exact"/>
        <w:ind w:firstLine="566"/>
        <w:rPr>
          <w:rFonts w:hAnsi="Times New Roman"/>
          <w:sz w:val="18"/>
          <w:szCs w:val="18"/>
        </w:rPr>
      </w:pPr>
      <w:proofErr w:type="gramStart"/>
      <w:r>
        <w:rPr>
          <w:rFonts w:hAnsi="Times New Roman"/>
          <w:sz w:val="18"/>
          <w:szCs w:val="18"/>
        </w:rPr>
        <w:t>Bu madde hükümlerine aykırı olarak edinilen, edinim amacına aykırı kullanıldığı ilgili Bakanlık ve idarelerce tespit edilen, süresi içinde ilgili Bakanlığa başvurulmayan veya süresi içinde projeleri gerçekleştirilmeyenler ile bu maddenin birinci fıkrası kapsamındaki sınırlamalar dışında miras yoluyla edinilen taşınmazlar ve sınırlı ayni haklar, Maliye Bakanlığınca verilecek bir yılı geçmeyen süre içinde maliki tarafından tasfiye edilmediği takdirde tasfiye edilerek bedele çevrilir ve bedeli hak sahibine ödenir.”</w:t>
      </w:r>
      <w:proofErr w:type="gramEnd"/>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 xml:space="preserve">2644 sayılı Kanunun 36 </w:t>
      </w:r>
      <w:proofErr w:type="spellStart"/>
      <w:r>
        <w:rPr>
          <w:rFonts w:hAnsi="Times New Roman"/>
          <w:sz w:val="18"/>
          <w:szCs w:val="18"/>
        </w:rPr>
        <w:t>ncı</w:t>
      </w:r>
      <w:proofErr w:type="spellEnd"/>
      <w:r>
        <w:rPr>
          <w:rFonts w:hAnsi="Times New Roman"/>
          <w:sz w:val="18"/>
          <w:szCs w:val="18"/>
        </w:rPr>
        <w:t xml:space="preserve"> maddesi aşağıdaki şekilde değiştirilmiştir.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 xml:space="preserve">“MADDE 36 – </w:t>
      </w:r>
      <w:proofErr w:type="gramStart"/>
      <w:r>
        <w:rPr>
          <w:rFonts w:hAnsi="Times New Roman"/>
          <w:sz w:val="18"/>
          <w:szCs w:val="18"/>
        </w:rPr>
        <w:t>29/5/2009</w:t>
      </w:r>
      <w:proofErr w:type="gramEnd"/>
      <w:r>
        <w:rPr>
          <w:rFonts w:hAnsi="Times New Roman"/>
          <w:sz w:val="18"/>
          <w:szCs w:val="18"/>
        </w:rPr>
        <w:t xml:space="preserve"> tarihli ve 5901 sayılı Türk Vatandaşlığı Kanununun 28 inci maddesi kapsamındaki kişiler hariç olmak üzere yabancı uyruklu gerçek kişilerin, yabancı ülkelerin kanunlarına göre kurulmuş tüzel kişilerin ve uluslararası kuruluşların yüzde elli veya daha fazla oranda hissesine sahip oldukları veya yönetim hakkını haiz kişilerin çoğunluğunu atayabilme veya görevden alabilme yetkisine sahip oldukları Türkiye’de kurulu tüzel kişiliğe sahip şirketler, ana sözleşmelerinde belirtilen faaliyet konularını yürütmek üzere taşınmaz mülkiyeti veya sınırlı ayni hak edinebilir ve kullanabilirler.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 xml:space="preserve">Birinci fıkrada belirtilen şirketlerin </w:t>
      </w:r>
      <w:proofErr w:type="gramStart"/>
      <w:r>
        <w:rPr>
          <w:rFonts w:hAnsi="Times New Roman"/>
          <w:sz w:val="18"/>
          <w:szCs w:val="18"/>
        </w:rPr>
        <w:t>Türkiye’de kurulu</w:t>
      </w:r>
      <w:proofErr w:type="gramEnd"/>
      <w:r>
        <w:rPr>
          <w:rFonts w:hAnsi="Times New Roman"/>
          <w:sz w:val="18"/>
          <w:szCs w:val="18"/>
        </w:rPr>
        <w:t xml:space="preserve"> başka bir şirkete doğrudan veya dolaylı olarak ortak olması durumunda, yabancı yatırımcının ortak olunan şirketteki nihai ortaklık oranının yüzde elli veya daha fazla olması halinde; yabancı yatırımcıların, taşınmaz maliki yerli sermayeli şirketlerin hisselerinin yüzde elli veya daha fazlasını doğrudan veya dolaylı olarak edinmesi ve taşınmaz maliki mevcut yabancı sermayeli şirketlerde yabancı yatırımcıların ortaklık oranının hisse devri sonucunda yüzde elli veya daha fazlasına ulaşması durumunda da aynı esaslar geçerlidir.</w:t>
      </w:r>
    </w:p>
    <w:p w:rsidR="00223D87" w:rsidRDefault="00223D87" w:rsidP="00223D87">
      <w:pPr>
        <w:pStyle w:val="3-NormalYaz"/>
        <w:spacing w:line="240" w:lineRule="exact"/>
        <w:ind w:firstLine="566"/>
        <w:rPr>
          <w:rFonts w:hAnsi="Times New Roman"/>
          <w:sz w:val="18"/>
          <w:szCs w:val="18"/>
        </w:rPr>
      </w:pPr>
      <w:proofErr w:type="gramStart"/>
      <w:r>
        <w:rPr>
          <w:rFonts w:hAnsi="Times New Roman"/>
          <w:sz w:val="18"/>
          <w:szCs w:val="18"/>
        </w:rPr>
        <w:t>18/12/1981</w:t>
      </w:r>
      <w:proofErr w:type="gramEnd"/>
      <w:r>
        <w:rPr>
          <w:rFonts w:hAnsi="Times New Roman"/>
          <w:sz w:val="18"/>
          <w:szCs w:val="18"/>
        </w:rPr>
        <w:t xml:space="preserve"> tarihli ve 2565 sayılı Askeri Yasak Bölgeler ve Güvenlik Bölgeleri Kanunu hükümleri saklı kalmak kaydıyla bu şirketlerin, askeri yasak bölgeler, askeri güvenlik bölgeleri ve aynı Kanunun 28 inci maddesi çerçevesinde belirlenen bölgelerdeki taşınmaz mülkiyeti edinimleri Genelkurmay Başkanlığının ya da yetkilendireceği komutanlıkların; özel güvenlik bölgelerindeki taşınmaz mülkiyeti edinimleri ise taşınmazın bulunduğu yerdeki valiliğin iznine tabidir. Bu fıkra kapsamında yapılacak değerlendirmelerde, edinimin ülke güvenliğine uygunluğu esas alınır.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Yukarıdaki fıkralar kapsamı dışında kalan yabancı sermayeli şirketler, yerli sermayeli şirketlerin tabi olduğu hükümler çerçevesinde taşınmaz mülkiyeti ve sınırlı ayni hak edinebilir ve kullanabilirler.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lastRenderedPageBreak/>
        <w:t xml:space="preserve">Taşınmaz </w:t>
      </w:r>
      <w:proofErr w:type="spellStart"/>
      <w:r>
        <w:rPr>
          <w:rFonts w:hAnsi="Times New Roman"/>
          <w:sz w:val="18"/>
          <w:szCs w:val="18"/>
        </w:rPr>
        <w:t>rehni</w:t>
      </w:r>
      <w:proofErr w:type="spellEnd"/>
      <w:r>
        <w:rPr>
          <w:rFonts w:hAnsi="Times New Roman"/>
          <w:sz w:val="18"/>
          <w:szCs w:val="18"/>
        </w:rPr>
        <w:t xml:space="preserve"> tesisinde, taşınmaz </w:t>
      </w:r>
      <w:proofErr w:type="spellStart"/>
      <w:r>
        <w:rPr>
          <w:rFonts w:hAnsi="Times New Roman"/>
          <w:sz w:val="18"/>
          <w:szCs w:val="18"/>
        </w:rPr>
        <w:t>rehninin</w:t>
      </w:r>
      <w:proofErr w:type="spellEnd"/>
      <w:r>
        <w:rPr>
          <w:rFonts w:hAnsi="Times New Roman"/>
          <w:sz w:val="18"/>
          <w:szCs w:val="18"/>
        </w:rPr>
        <w:t xml:space="preserve"> paraya çevrilmesi kapsamındaki mülkiyet edinimlerinde, şirket birleşmelerinden ve bölünmelerinden doğan taşınmaz mülkiyeti ve sınırlı ayni hak naklinde, organize sanayi bölgeleri, endüstri bölgeleri, teknoloji geliştirme bölgeleri ve serbest bölgeler gibi özel yatırım bölgelerindeki taşınmaz mülkiyeti ve sınırlı ayni hak edinimlerinde ve ilgili mevzuata göre belli sürede elden çıkarma zorunluluğunun devam etmesi kaydıyla bankaların, </w:t>
      </w:r>
      <w:proofErr w:type="gramStart"/>
      <w:r>
        <w:rPr>
          <w:rFonts w:hAnsi="Times New Roman"/>
          <w:sz w:val="18"/>
          <w:szCs w:val="18"/>
        </w:rPr>
        <w:t>19/10/2005</w:t>
      </w:r>
      <w:proofErr w:type="gramEnd"/>
      <w:r>
        <w:rPr>
          <w:rFonts w:hAnsi="Times New Roman"/>
          <w:sz w:val="18"/>
          <w:szCs w:val="18"/>
        </w:rPr>
        <w:t xml:space="preserve"> tarihli ve 5411 sayılı Bankacılık Kanunu çerçevesinde kredi olarak sayılan işlemler nedeniyle ya da alacaklarını tahsil amacıyla edindikleri taşınmazlarda bu madde hükümleri uygulanmaz.</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Bu madde kapsamında edinilen taşınmazların kullanımı, valiliklerce tapu kayıtları çerçevesinde belli aralıklarla izlenir.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Bu madde hükümlerine aykırı şekilde edinildiği veya kullanıldığı tespit edilen taşınmazlar ve sınırlı ayni haklar, Maliye Bakanlığınca verilecek süre içinde maliki tarafından tasfiye edilmediği takdirde tasfiye edilerek bedele çevrilir ve bedeli hak sahibine ödenir.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Bu maddenin uygulanmasına ilişkin usul ve esaslar, ilgili kurum ve kuruluşların görüşlerinin alınmasını müteakip Ekonomi Bakanlığı tarafından çıkarılan yönetmelikle düzenlenir.”</w:t>
      </w:r>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2644 sayılı Kanuna aşağıdaki ek madde eklenmiştir.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“EK MADDE 1 – Ölüm tarihinden itibaren en geç iki yıl içinde tapu sicilinde miras intikalinin gerçekleşmemesi halinde tapu müdürlüğü, mirasçılık belgesi düzenlenmesi için yargıya başvurabilir. Tapu müdürlüğü mirasçılık belgesine göre tapu sicili kayıtlarını elbirliği mülkiyeti şeklinde tescil ederek güncelleştirir. Tapu müdürlüğünün bu yetki kapsamındaki başvuruları her türlü gider, vergi, resim veya harçtan muaftır.”</w:t>
      </w:r>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4 – </w:t>
      </w:r>
      <w:proofErr w:type="gramStart"/>
      <w:r>
        <w:rPr>
          <w:rFonts w:hAnsi="Times New Roman"/>
          <w:sz w:val="18"/>
          <w:szCs w:val="18"/>
        </w:rPr>
        <w:t>21/6/1987</w:t>
      </w:r>
      <w:proofErr w:type="gramEnd"/>
      <w:r>
        <w:rPr>
          <w:rFonts w:hAnsi="Times New Roman"/>
          <w:sz w:val="18"/>
          <w:szCs w:val="18"/>
        </w:rPr>
        <w:t xml:space="preserve"> tarihli ve 3402 sayılı Kadastro Kanununun 13 üncü maddesinin birinci fıkrasının (B) bendinin (c) alt bendi aşağıdaki şekilde değiştirilmiştir.</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“c) Kayıt sahibinin yirmi yıl önce gaipliğine hüküm verilmiş veya tapu sicilinden malikin kim olduğu anlaşılamamış ise çekişmesiz ve aralıksız yirmi yıl müddetle ve malik sıfatıyla zilyet bulunan kimse adına tespit olunur.”</w:t>
      </w:r>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Bu Kanunun;</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 xml:space="preserve">a) 2 </w:t>
      </w:r>
      <w:proofErr w:type="spellStart"/>
      <w:r>
        <w:rPr>
          <w:rFonts w:hAnsi="Times New Roman"/>
          <w:sz w:val="18"/>
          <w:szCs w:val="18"/>
        </w:rPr>
        <w:t>nci</w:t>
      </w:r>
      <w:proofErr w:type="spellEnd"/>
      <w:r>
        <w:rPr>
          <w:rFonts w:hAnsi="Times New Roman"/>
          <w:sz w:val="18"/>
          <w:szCs w:val="18"/>
        </w:rPr>
        <w:t xml:space="preserve"> maddesi yayımı tarihinden üç ay sonra,</w:t>
      </w:r>
    </w:p>
    <w:p w:rsidR="00223D87" w:rsidRDefault="00223D87" w:rsidP="00223D87">
      <w:pPr>
        <w:pStyle w:val="3-NormalYaz"/>
        <w:spacing w:line="240" w:lineRule="exact"/>
        <w:ind w:firstLine="566"/>
        <w:rPr>
          <w:rFonts w:hAnsi="Times New Roman"/>
          <w:sz w:val="18"/>
          <w:szCs w:val="18"/>
        </w:rPr>
      </w:pPr>
      <w:r>
        <w:rPr>
          <w:rFonts w:hAnsi="Times New Roman"/>
          <w:sz w:val="18"/>
          <w:szCs w:val="18"/>
        </w:rPr>
        <w:t>b) Diğer maddeleri yayımı tarihinde,</w:t>
      </w:r>
    </w:p>
    <w:p w:rsidR="00223D87" w:rsidRDefault="00223D87" w:rsidP="00223D87">
      <w:pPr>
        <w:pStyle w:val="3-NormalYaz"/>
        <w:spacing w:line="240" w:lineRule="exact"/>
        <w:ind w:firstLine="566"/>
        <w:rPr>
          <w:rFonts w:hAnsi="Times New Roman"/>
          <w:sz w:val="18"/>
          <w:szCs w:val="18"/>
        </w:rPr>
      </w:pPr>
      <w:proofErr w:type="gramStart"/>
      <w:r>
        <w:rPr>
          <w:rFonts w:hAnsi="Times New Roman"/>
          <w:sz w:val="18"/>
          <w:szCs w:val="18"/>
        </w:rPr>
        <w:t>yürürlüğe</w:t>
      </w:r>
      <w:proofErr w:type="gramEnd"/>
      <w:r>
        <w:rPr>
          <w:rFonts w:hAnsi="Times New Roman"/>
          <w:sz w:val="18"/>
          <w:szCs w:val="18"/>
        </w:rPr>
        <w:t xml:space="preserve"> girer.</w:t>
      </w:r>
    </w:p>
    <w:p w:rsidR="00223D87" w:rsidRDefault="00223D87" w:rsidP="00223D87">
      <w:pPr>
        <w:pStyle w:val="3-NormalYaz"/>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Bu Kanun hükümlerini Bakanlar Kurulu yürütür.</w:t>
      </w:r>
    </w:p>
    <w:p w:rsidR="00223D87" w:rsidRDefault="00223D87" w:rsidP="00223D87">
      <w:pPr>
        <w:pStyle w:val="3-NormalYaz"/>
        <w:spacing w:line="240" w:lineRule="exact"/>
        <w:jc w:val="center"/>
        <w:rPr>
          <w:rFonts w:hAnsi="Times New Roman"/>
          <w:sz w:val="18"/>
          <w:szCs w:val="18"/>
        </w:rPr>
      </w:pPr>
      <w:proofErr w:type="gramStart"/>
      <w:r>
        <w:rPr>
          <w:rFonts w:hAnsi="Times New Roman"/>
          <w:sz w:val="18"/>
          <w:szCs w:val="18"/>
        </w:rPr>
        <w:t>17/5/2012</w:t>
      </w:r>
      <w:proofErr w:type="gramEnd"/>
    </w:p>
    <w:p w:rsidR="00223D87" w:rsidRDefault="00223D87" w:rsidP="004910C6">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223D8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8BB7C97"/>
    <w:multiLevelType w:val="hybridMultilevel"/>
    <w:tmpl w:val="7B88856A"/>
    <w:lvl w:ilvl="0" w:tplc="041F000F">
      <w:start w:val="1"/>
      <w:numFmt w:val="decimal"/>
      <w:lvlText w:val="%1."/>
      <w:lvlJc w:val="left"/>
      <w:pPr>
        <w:ind w:left="36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21CF4CC2"/>
    <w:multiLevelType w:val="multilevel"/>
    <w:tmpl w:val="F2380DEC"/>
    <w:lvl w:ilvl="0">
      <w:start w:val="1"/>
      <w:numFmt w:val="decimal"/>
      <w:lvlText w:val="%1."/>
      <w:lvlJc w:val="left"/>
      <w:pPr>
        <w:ind w:left="360" w:hanging="360"/>
      </w:pPr>
      <w:rPr>
        <w:rFonts w:cs="Times New Roman"/>
      </w:rPr>
    </w:lvl>
    <w:lvl w:ilvl="1">
      <w:start w:val="1"/>
      <w:numFmt w:val="decimal"/>
      <w:lvlText w:val="%1.%2."/>
      <w:lvlJc w:val="left"/>
      <w:pPr>
        <w:ind w:left="1211" w:hanging="360"/>
      </w:pPr>
      <w:rPr>
        <w:rFonts w:cs="Times New Roman"/>
      </w:rPr>
    </w:lvl>
    <w:lvl w:ilvl="2">
      <w:start w:val="1"/>
      <w:numFmt w:val="decimal"/>
      <w:lvlText w:val="%1.%2.%3."/>
      <w:lvlJc w:val="left"/>
      <w:pPr>
        <w:ind w:left="2706" w:hanging="720"/>
      </w:pPr>
      <w:rPr>
        <w:rFonts w:cs="Times New Roman"/>
      </w:rPr>
    </w:lvl>
    <w:lvl w:ilvl="3">
      <w:start w:val="1"/>
      <w:numFmt w:val="decimal"/>
      <w:lvlText w:val="%1.%2.%3.%4."/>
      <w:lvlJc w:val="left"/>
      <w:pPr>
        <w:ind w:left="3699" w:hanging="720"/>
      </w:pPr>
      <w:rPr>
        <w:rFonts w:cs="Times New Roman"/>
      </w:rPr>
    </w:lvl>
    <w:lvl w:ilvl="4">
      <w:start w:val="1"/>
      <w:numFmt w:val="decimal"/>
      <w:lvlText w:val="%1.%2.%3.%4.%5."/>
      <w:lvlJc w:val="left"/>
      <w:pPr>
        <w:ind w:left="5052" w:hanging="1080"/>
      </w:pPr>
      <w:rPr>
        <w:rFonts w:cs="Times New Roman"/>
      </w:rPr>
    </w:lvl>
    <w:lvl w:ilvl="5">
      <w:start w:val="1"/>
      <w:numFmt w:val="decimal"/>
      <w:lvlText w:val="%1.%2.%3.%4.%5.%6."/>
      <w:lvlJc w:val="left"/>
      <w:pPr>
        <w:ind w:left="6045" w:hanging="1080"/>
      </w:pPr>
      <w:rPr>
        <w:rFonts w:cs="Times New Roman"/>
      </w:rPr>
    </w:lvl>
    <w:lvl w:ilvl="6">
      <w:start w:val="1"/>
      <w:numFmt w:val="decimal"/>
      <w:lvlText w:val="%1.%2.%3.%4.%5.%6.%7."/>
      <w:lvlJc w:val="left"/>
      <w:pPr>
        <w:ind w:left="7398" w:hanging="1440"/>
      </w:pPr>
      <w:rPr>
        <w:rFonts w:cs="Times New Roman"/>
      </w:rPr>
    </w:lvl>
    <w:lvl w:ilvl="7">
      <w:start w:val="1"/>
      <w:numFmt w:val="decimal"/>
      <w:lvlText w:val="%1.%2.%3.%4.%5.%6.%7.%8."/>
      <w:lvlJc w:val="left"/>
      <w:pPr>
        <w:ind w:left="8391" w:hanging="1440"/>
      </w:pPr>
      <w:rPr>
        <w:rFonts w:cs="Times New Roman"/>
      </w:rPr>
    </w:lvl>
    <w:lvl w:ilvl="8">
      <w:start w:val="1"/>
      <w:numFmt w:val="decimal"/>
      <w:lvlText w:val="%1.%2.%3.%4.%5.%6.%7.%8.%9."/>
      <w:lvlJc w:val="left"/>
      <w:pPr>
        <w:ind w:left="9744" w:hanging="1800"/>
      </w:pPr>
      <w:rPr>
        <w:rFonts w:cs="Times New Roman"/>
      </w:rPr>
    </w:lvl>
  </w:abstractNum>
  <w:abstractNum w:abstractNumId="3">
    <w:nsid w:val="40715F90"/>
    <w:multiLevelType w:val="hybridMultilevel"/>
    <w:tmpl w:val="7B88856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41C9021E"/>
    <w:multiLevelType w:val="hybridMultilevel"/>
    <w:tmpl w:val="1B98F4F6"/>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5E1C31AC"/>
    <w:multiLevelType w:val="hybridMultilevel"/>
    <w:tmpl w:val="3C7A8AD6"/>
    <w:lvl w:ilvl="0" w:tplc="5D24ACFE">
      <w:start w:val="1"/>
      <w:numFmt w:val="decimal"/>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25B63D0"/>
    <w:multiLevelType w:val="hybridMultilevel"/>
    <w:tmpl w:val="ED405E1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77B82DB9"/>
    <w:multiLevelType w:val="hybridMultilevel"/>
    <w:tmpl w:val="AFD03A3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793A6F2F"/>
    <w:multiLevelType w:val="hybridMultilevel"/>
    <w:tmpl w:val="3C2266F6"/>
    <w:lvl w:ilvl="0" w:tplc="669C030C">
      <w:start w:val="1"/>
      <w:numFmt w:val="upperLetter"/>
      <w:lvlText w:val="%1)"/>
      <w:lvlJc w:val="left"/>
      <w:pPr>
        <w:ind w:left="1068" w:hanging="360"/>
      </w:pPr>
      <w:rPr>
        <w:rFonts w:cs="Times New Roman"/>
      </w:rPr>
    </w:lvl>
    <w:lvl w:ilvl="1" w:tplc="041F0019">
      <w:start w:val="1"/>
      <w:numFmt w:val="lowerLetter"/>
      <w:lvlText w:val="%2."/>
      <w:lvlJc w:val="left"/>
      <w:pPr>
        <w:ind w:left="1788" w:hanging="360"/>
      </w:pPr>
      <w:rPr>
        <w:rFonts w:cs="Times New Roman"/>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5594"/>
    <w:rsid w:val="00012281"/>
    <w:rsid w:val="00016DBE"/>
    <w:rsid w:val="00070B8E"/>
    <w:rsid w:val="00095430"/>
    <w:rsid w:val="000F54C7"/>
    <w:rsid w:val="00107FB0"/>
    <w:rsid w:val="00120093"/>
    <w:rsid w:val="00174AB0"/>
    <w:rsid w:val="001D713E"/>
    <w:rsid w:val="001F486E"/>
    <w:rsid w:val="001F5635"/>
    <w:rsid w:val="00223D87"/>
    <w:rsid w:val="00240D87"/>
    <w:rsid w:val="002759FE"/>
    <w:rsid w:val="002D005B"/>
    <w:rsid w:val="002D270D"/>
    <w:rsid w:val="002E04BF"/>
    <w:rsid w:val="002E5594"/>
    <w:rsid w:val="002F0219"/>
    <w:rsid w:val="00327A1E"/>
    <w:rsid w:val="0036526C"/>
    <w:rsid w:val="003B32F0"/>
    <w:rsid w:val="003F0B86"/>
    <w:rsid w:val="004027D1"/>
    <w:rsid w:val="004135DD"/>
    <w:rsid w:val="00443B47"/>
    <w:rsid w:val="00461673"/>
    <w:rsid w:val="00476A6C"/>
    <w:rsid w:val="004910C6"/>
    <w:rsid w:val="00563427"/>
    <w:rsid w:val="005829E0"/>
    <w:rsid w:val="00591FA5"/>
    <w:rsid w:val="005A7AC6"/>
    <w:rsid w:val="005C0734"/>
    <w:rsid w:val="005C073A"/>
    <w:rsid w:val="005C483E"/>
    <w:rsid w:val="00620247"/>
    <w:rsid w:val="0062341E"/>
    <w:rsid w:val="00627628"/>
    <w:rsid w:val="00662288"/>
    <w:rsid w:val="00665A61"/>
    <w:rsid w:val="006B2190"/>
    <w:rsid w:val="006B2A64"/>
    <w:rsid w:val="006D0CC9"/>
    <w:rsid w:val="006D465D"/>
    <w:rsid w:val="007471EC"/>
    <w:rsid w:val="00776937"/>
    <w:rsid w:val="007D5C33"/>
    <w:rsid w:val="008755B6"/>
    <w:rsid w:val="008A7D71"/>
    <w:rsid w:val="008E72B4"/>
    <w:rsid w:val="008E72F7"/>
    <w:rsid w:val="009727FC"/>
    <w:rsid w:val="0099659B"/>
    <w:rsid w:val="00997E74"/>
    <w:rsid w:val="009A7294"/>
    <w:rsid w:val="009E1AED"/>
    <w:rsid w:val="00B022B2"/>
    <w:rsid w:val="00B205BA"/>
    <w:rsid w:val="00B35160"/>
    <w:rsid w:val="00B3700A"/>
    <w:rsid w:val="00B40463"/>
    <w:rsid w:val="00B455B8"/>
    <w:rsid w:val="00B66A9C"/>
    <w:rsid w:val="00B76B8A"/>
    <w:rsid w:val="00C17CDD"/>
    <w:rsid w:val="00C230B1"/>
    <w:rsid w:val="00C23953"/>
    <w:rsid w:val="00C33E05"/>
    <w:rsid w:val="00C51D2F"/>
    <w:rsid w:val="00C763FE"/>
    <w:rsid w:val="00CA4DF3"/>
    <w:rsid w:val="00CF57E4"/>
    <w:rsid w:val="00D368A8"/>
    <w:rsid w:val="00D509B8"/>
    <w:rsid w:val="00D8654E"/>
    <w:rsid w:val="00D90778"/>
    <w:rsid w:val="00E13049"/>
    <w:rsid w:val="00E14FBD"/>
    <w:rsid w:val="00E15152"/>
    <w:rsid w:val="00E40D4D"/>
    <w:rsid w:val="00E42DD7"/>
    <w:rsid w:val="00E72905"/>
    <w:rsid w:val="00F03433"/>
    <w:rsid w:val="00F804E4"/>
    <w:rsid w:val="00F87D93"/>
    <w:rsid w:val="00FE2B5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9E1AED"/>
    <w:pPr>
      <w:keepNext/>
      <w:spacing w:before="240" w:after="60" w:line="240" w:lineRule="auto"/>
      <w:outlineLvl w:val="0"/>
    </w:pPr>
    <w:rPr>
      <w:rFonts w:ascii="Arial" w:eastAsiaTheme="minorEastAsia" w:hAnsi="Arial" w:cs="Arial"/>
      <w:b/>
      <w:bCs/>
      <w:kern w:val="32"/>
      <w:sz w:val="32"/>
      <w:szCs w:val="32"/>
      <w:lang w:eastAsia="tr-TR"/>
    </w:rPr>
  </w:style>
  <w:style w:type="paragraph" w:styleId="Balk7">
    <w:name w:val="heading 7"/>
    <w:basedOn w:val="Normal"/>
    <w:next w:val="Normal"/>
    <w:link w:val="Balk7Char"/>
    <w:uiPriority w:val="9"/>
    <w:semiHidden/>
    <w:unhideWhenUsed/>
    <w:qFormat/>
    <w:rsid w:val="00174A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559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2E559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2E5594"/>
    <w:pPr>
      <w:tabs>
        <w:tab w:val="left" w:pos="566"/>
      </w:tabs>
      <w:spacing w:after="0" w:line="240" w:lineRule="auto"/>
      <w:jc w:val="both"/>
    </w:pPr>
    <w:rPr>
      <w:rFonts w:ascii="Times New Roman" w:eastAsia="ヒラギノ明朝 Pro W3" w:hAnsi="Times" w:cs="Times New Roman"/>
      <w:sz w:val="19"/>
      <w:szCs w:val="20"/>
    </w:rPr>
  </w:style>
  <w:style w:type="character" w:customStyle="1" w:styleId="Normal1">
    <w:name w:val="Normal1"/>
    <w:rsid w:val="00E13049"/>
    <w:rPr>
      <w:rFonts w:ascii="Times New Roman" w:eastAsia="Times New Roman" w:hAnsi="Times New Roman" w:cs="Times New Roman" w:hint="default"/>
      <w:noProof w:val="0"/>
      <w:sz w:val="24"/>
      <w:lang w:val="en-GB"/>
    </w:rPr>
  </w:style>
  <w:style w:type="paragraph" w:customStyle="1" w:styleId="1-Baslk">
    <w:name w:val="1-Baslık"/>
    <w:rsid w:val="0036526C"/>
    <w:pPr>
      <w:tabs>
        <w:tab w:val="left" w:pos="566"/>
      </w:tabs>
      <w:spacing w:after="0" w:line="240" w:lineRule="auto"/>
    </w:pPr>
    <w:rPr>
      <w:rFonts w:ascii="Times New Roman" w:eastAsia="ヒラギノ明朝 Pro W3" w:hAnsi="Times" w:cs="Times New Roman"/>
      <w:szCs w:val="20"/>
      <w:u w:val="single"/>
    </w:rPr>
  </w:style>
  <w:style w:type="paragraph" w:customStyle="1" w:styleId="listeparagrafcxspilk">
    <w:name w:val="listeparagrafcxspilk"/>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orta">
    <w:name w:val="listeparagrafcxsporta"/>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cxspson">
    <w:name w:val="listeparagrafcxspson"/>
    <w:basedOn w:val="Normal"/>
    <w:rsid w:val="000122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9E1AED"/>
    <w:rPr>
      <w:rFonts w:ascii="Arial" w:eastAsiaTheme="minorEastAsia" w:hAnsi="Arial" w:cs="Arial"/>
      <w:b/>
      <w:bCs/>
      <w:kern w:val="32"/>
      <w:sz w:val="32"/>
      <w:szCs w:val="32"/>
      <w:lang w:eastAsia="tr-TR"/>
    </w:rPr>
  </w:style>
  <w:style w:type="paragraph" w:styleId="GvdeMetni">
    <w:name w:val="Body Text"/>
    <w:basedOn w:val="Normal"/>
    <w:link w:val="GvdeMetniChar"/>
    <w:uiPriority w:val="99"/>
    <w:semiHidden/>
    <w:unhideWhenUsed/>
    <w:rsid w:val="009E1AED"/>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9E1AED"/>
    <w:rPr>
      <w:rFonts w:ascii="Tahoma" w:eastAsia="Times New Roman" w:hAnsi="Tahoma" w:cs="Times New Roman"/>
      <w:szCs w:val="20"/>
      <w:lang w:eastAsia="tr-TR"/>
    </w:rPr>
  </w:style>
  <w:style w:type="paragraph" w:customStyle="1" w:styleId="msoplantext">
    <w:name w:val="msoplaıntext"/>
    <w:basedOn w:val="Normal"/>
    <w:rsid w:val="009E1AED"/>
    <w:pPr>
      <w:spacing w:after="0" w:line="240" w:lineRule="auto"/>
    </w:pPr>
    <w:rPr>
      <w:rFonts w:ascii="Courier New" w:eastAsia="Times New Roman" w:hAnsi="Courier New" w:cs="Times New Roman"/>
      <w:sz w:val="20"/>
      <w:szCs w:val="20"/>
      <w:lang w:eastAsia="tr-TR"/>
    </w:rPr>
  </w:style>
  <w:style w:type="character" w:customStyle="1" w:styleId="Balk7Char">
    <w:name w:val="Başlık 7 Char"/>
    <w:basedOn w:val="VarsaylanParagrafYazTipi"/>
    <w:link w:val="Balk7"/>
    <w:uiPriority w:val="9"/>
    <w:semiHidden/>
    <w:rsid w:val="00174AB0"/>
    <w:rPr>
      <w:rFonts w:asciiTheme="majorHAnsi" w:eastAsiaTheme="majorEastAsia" w:hAnsiTheme="majorHAnsi" w:cstheme="majorBidi"/>
      <w:i/>
      <w:iCs/>
      <w:color w:val="404040" w:themeColor="text1" w:themeTint="BF"/>
    </w:rPr>
  </w:style>
  <w:style w:type="paragraph" w:styleId="KonuBal">
    <w:name w:val="Title"/>
    <w:basedOn w:val="Normal"/>
    <w:link w:val="KonuBalChar"/>
    <w:uiPriority w:val="10"/>
    <w:qFormat/>
    <w:rsid w:val="00174A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174AB0"/>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B32F0"/>
    <w:rPr>
      <w:strike w:val="0"/>
      <w:dstrike w:val="0"/>
      <w:color w:val="0000FF"/>
      <w:u w:val="none"/>
      <w:effect w:val="none"/>
    </w:rPr>
  </w:style>
  <w:style w:type="character" w:customStyle="1" w:styleId="normal10">
    <w:name w:val="normal1"/>
    <w:basedOn w:val="VarsaylanParagrafYazTipi"/>
    <w:rsid w:val="003B32F0"/>
  </w:style>
  <w:style w:type="character" w:customStyle="1" w:styleId="grame">
    <w:name w:val="grame"/>
    <w:basedOn w:val="VarsaylanParagrafYazTipi"/>
    <w:rsid w:val="003B32F0"/>
  </w:style>
  <w:style w:type="paragraph" w:customStyle="1" w:styleId="3-normalyaz0">
    <w:name w:val="3-normalyaz"/>
    <w:basedOn w:val="Normal"/>
    <w:rsid w:val="003B32F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1F486E"/>
    <w:rPr>
      <w:color w:val="800080"/>
      <w:u w:val="single"/>
    </w:rPr>
  </w:style>
  <w:style w:type="character" w:customStyle="1" w:styleId="msohyperlnk">
    <w:name w:val="msohyperlınk"/>
    <w:basedOn w:val="VarsaylanParagrafYazTipi"/>
    <w:rsid w:val="001F486E"/>
    <w:rPr>
      <w:color w:val="0000FF"/>
      <w:u w:val="single"/>
    </w:rPr>
  </w:style>
  <w:style w:type="character" w:customStyle="1" w:styleId="msohyperlnkfollowed">
    <w:name w:val="msohyperlınkfollowed"/>
    <w:basedOn w:val="VarsaylanParagrafYazTipi"/>
    <w:rsid w:val="001F486E"/>
    <w:rPr>
      <w:color w:val="800080"/>
      <w:u w:val="single"/>
    </w:rPr>
  </w:style>
  <w:style w:type="paragraph" w:customStyle="1" w:styleId="2-ortabaslk0">
    <w:name w:val="2-ortabaslk"/>
    <w:basedOn w:val="Normal"/>
    <w:rsid w:val="00070B8E"/>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070B8E"/>
  </w:style>
  <w:style w:type="paragraph" w:styleId="DipnotMetni">
    <w:name w:val="footnote text"/>
    <w:basedOn w:val="Normal"/>
    <w:link w:val="DipnotMetniChar"/>
    <w:uiPriority w:val="99"/>
    <w:semiHidden/>
    <w:unhideWhenUsed/>
    <w:rsid w:val="004910C6"/>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4910C6"/>
    <w:rPr>
      <w:rFonts w:ascii="Times New Roman" w:eastAsia="Times New Roman" w:hAnsi="Times New Roman" w:cs="Times New Roman"/>
      <w:sz w:val="20"/>
      <w:szCs w:val="20"/>
      <w:lang w:eastAsia="tr-TR"/>
    </w:rPr>
  </w:style>
  <w:style w:type="character" w:styleId="Gl">
    <w:name w:val="Strong"/>
    <w:basedOn w:val="VarsaylanParagrafYazTipi"/>
    <w:uiPriority w:val="22"/>
    <w:qFormat/>
    <w:rsid w:val="004910C6"/>
    <w:rPr>
      <w:b/>
      <w:bCs/>
    </w:rPr>
  </w:style>
  <w:style w:type="paragraph" w:styleId="BalonMetni">
    <w:name w:val="Balloon Text"/>
    <w:basedOn w:val="Normal"/>
    <w:link w:val="BalonMetniChar"/>
    <w:uiPriority w:val="99"/>
    <w:semiHidden/>
    <w:unhideWhenUsed/>
    <w:rsid w:val="008E72B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E72B4"/>
    <w:rPr>
      <w:rFonts w:ascii="Tahoma" w:hAnsi="Tahoma" w:cs="Tahoma"/>
      <w:sz w:val="16"/>
      <w:szCs w:val="16"/>
    </w:rPr>
  </w:style>
  <w:style w:type="paragraph" w:customStyle="1" w:styleId="listparagraph">
    <w:name w:val="listparagraph"/>
    <w:basedOn w:val="Normal"/>
    <w:rsid w:val="000F54C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5A7AC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ipnotMetniChar1">
    <w:name w:val="Dipnot Metni Char1"/>
    <w:uiPriority w:val="99"/>
    <w:semiHidden/>
    <w:locked/>
    <w:rsid w:val="005A7AC6"/>
    <w:rPr>
      <w:rFonts w:ascii="Times New Roman" w:eastAsia="Times New Roman" w:hAnsi="Times New Roman" w:cs="Times New Roman"/>
      <w:sz w:val="20"/>
      <w:szCs w:val="20"/>
      <w:lang w:eastAsia="tr-TR"/>
    </w:rPr>
  </w:style>
  <w:style w:type="paragraph" w:customStyle="1" w:styleId="listparagraphcxspilk">
    <w:name w:val="listparagraphcxspilk"/>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cxspson">
    <w:name w:val="listparagraphcxspson"/>
    <w:basedOn w:val="Normal"/>
    <w:rsid w:val="005A7AC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13808461">
      <w:bodyDiv w:val="1"/>
      <w:marLeft w:val="0"/>
      <w:marRight w:val="0"/>
      <w:marTop w:val="0"/>
      <w:marBottom w:val="0"/>
      <w:divBdr>
        <w:top w:val="none" w:sz="0" w:space="0" w:color="auto"/>
        <w:left w:val="none" w:sz="0" w:space="0" w:color="auto"/>
        <w:bottom w:val="none" w:sz="0" w:space="0" w:color="auto"/>
        <w:right w:val="none" w:sz="0" w:space="0" w:color="auto"/>
      </w:divBdr>
      <w:divsChild>
        <w:div w:id="1934505723">
          <w:marLeft w:val="0"/>
          <w:marRight w:val="0"/>
          <w:marTop w:val="0"/>
          <w:marBottom w:val="0"/>
          <w:divBdr>
            <w:top w:val="none" w:sz="0" w:space="0" w:color="auto"/>
            <w:left w:val="none" w:sz="0" w:space="0" w:color="auto"/>
            <w:bottom w:val="none" w:sz="0" w:space="0" w:color="auto"/>
            <w:right w:val="none" w:sz="0" w:space="0" w:color="auto"/>
          </w:divBdr>
          <w:divsChild>
            <w:div w:id="1870605578">
              <w:marLeft w:val="0"/>
              <w:marRight w:val="0"/>
              <w:marTop w:val="0"/>
              <w:marBottom w:val="0"/>
              <w:divBdr>
                <w:top w:val="none" w:sz="0" w:space="0" w:color="auto"/>
                <w:left w:val="none" w:sz="0" w:space="0" w:color="auto"/>
                <w:bottom w:val="none" w:sz="0" w:space="0" w:color="auto"/>
                <w:right w:val="none" w:sz="0" w:space="0" w:color="auto"/>
              </w:divBdr>
              <w:divsChild>
                <w:div w:id="2102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1160</Words>
  <Characters>6615</Characters>
  <Application>Microsoft Office Word</Application>
  <DocSecurity>0</DocSecurity>
  <Lines>55</Lines>
  <Paragraphs>15</Paragraphs>
  <ScaleCrop>false</ScaleCrop>
  <Company>TURMOB</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87</cp:revision>
  <dcterms:created xsi:type="dcterms:W3CDTF">2012-04-03T05:36:00Z</dcterms:created>
  <dcterms:modified xsi:type="dcterms:W3CDTF">2012-05-18T05:35:00Z</dcterms:modified>
</cp:coreProperties>
</file>