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CF2D7A" w:rsidP="00F17BB7">
      <w:pPr>
        <w:spacing w:after="0" w:line="300" w:lineRule="atLeast"/>
        <w:rPr>
          <w:rFonts w:ascii="Times New Roman" w:hAnsi="Times New Roman" w:cs="Times New Roman"/>
          <w:b/>
          <w:sz w:val="20"/>
          <w:szCs w:val="20"/>
          <w:u w:val="single"/>
        </w:rPr>
      </w:pPr>
      <w:r w:rsidRPr="00CF2D7A">
        <w:rPr>
          <w:rFonts w:ascii="Times New Roman" w:hAnsi="Times New Roman" w:cs="Times New Roman"/>
          <w:b/>
          <w:sz w:val="20"/>
          <w:szCs w:val="20"/>
          <w:u w:val="single"/>
        </w:rPr>
        <w:t>19</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sidRPr="00CF2D7A">
        <w:rPr>
          <w:rFonts w:ascii="Times New Roman" w:hAnsi="Times New Roman" w:cs="Times New Roman"/>
          <w:b/>
          <w:sz w:val="20"/>
          <w:szCs w:val="20"/>
          <w:u w:val="single"/>
        </w:rPr>
        <w:tab/>
      </w:r>
      <w:r w:rsidRPr="00CF2D7A">
        <w:rPr>
          <w:rFonts w:ascii="Times New Roman" w:hAnsi="Times New Roman" w:cs="Times New Roman"/>
          <w:b/>
          <w:sz w:val="20"/>
          <w:szCs w:val="20"/>
          <w:u w:val="single"/>
        </w:rPr>
        <w:tab/>
      </w:r>
      <w:r w:rsidRPr="00CF2D7A">
        <w:rPr>
          <w:rFonts w:ascii="Times New Roman" w:hAnsi="Times New Roman" w:cs="Times New Roman"/>
          <w:b/>
          <w:sz w:val="20"/>
          <w:szCs w:val="20"/>
          <w:u w:val="single"/>
        </w:rPr>
        <w:tab/>
      </w:r>
      <w:r w:rsidRPr="00CF2D7A">
        <w:rPr>
          <w:rFonts w:ascii="Times New Roman" w:hAnsi="Times New Roman" w:cs="Times New Roman"/>
          <w:b/>
          <w:sz w:val="20"/>
          <w:szCs w:val="20"/>
          <w:u w:val="single"/>
        </w:rPr>
        <w:tab/>
      </w:r>
      <w:r w:rsidRPr="00CF2D7A">
        <w:rPr>
          <w:rFonts w:ascii="Times New Roman" w:hAnsi="Times New Roman" w:cs="Times New Roman"/>
          <w:b/>
          <w:sz w:val="20"/>
          <w:szCs w:val="20"/>
          <w:u w:val="single"/>
        </w:rPr>
        <w:tab/>
      </w:r>
      <w:r w:rsidRPr="00CF2D7A">
        <w:rPr>
          <w:rFonts w:ascii="Times New Roman" w:hAnsi="Times New Roman" w:cs="Times New Roman"/>
          <w:b/>
          <w:sz w:val="20"/>
          <w:szCs w:val="20"/>
          <w:u w:val="single"/>
        </w:rPr>
        <w:tab/>
      </w:r>
      <w:r w:rsidRPr="00CF2D7A">
        <w:rPr>
          <w:rFonts w:ascii="Times New Roman" w:hAnsi="Times New Roman" w:cs="Times New Roman"/>
          <w:b/>
          <w:sz w:val="20"/>
          <w:szCs w:val="20"/>
          <w:u w:val="single"/>
        </w:rPr>
        <w:tab/>
      </w:r>
      <w:r w:rsidRPr="00CF2D7A">
        <w:rPr>
          <w:rFonts w:ascii="Times New Roman" w:hAnsi="Times New Roman" w:cs="Times New Roman"/>
          <w:b/>
          <w:sz w:val="20"/>
          <w:szCs w:val="20"/>
          <w:u w:val="single"/>
        </w:rPr>
        <w:tab/>
        <w:t xml:space="preserve">           </w:t>
      </w:r>
      <w:proofErr w:type="gramStart"/>
      <w:r w:rsidRPr="00CF2D7A">
        <w:rPr>
          <w:rFonts w:ascii="Times New Roman" w:hAnsi="Times New Roman" w:cs="Times New Roman"/>
          <w:b/>
          <w:sz w:val="20"/>
          <w:szCs w:val="20"/>
          <w:u w:val="single"/>
        </w:rPr>
        <w:t>Sayı : 28328</w:t>
      </w:r>
      <w:proofErr w:type="gramEnd"/>
    </w:p>
    <w:p w:rsidR="002E3193" w:rsidRPr="00CF2D7A" w:rsidRDefault="002E3193" w:rsidP="00F17BB7">
      <w:pPr>
        <w:spacing w:after="0" w:line="300" w:lineRule="atLeast"/>
        <w:jc w:val="right"/>
        <w:rPr>
          <w:rFonts w:ascii="Times New Roman" w:eastAsia="Times New Roman" w:hAnsi="Times New Roman" w:cs="Times New Roman"/>
          <w:sz w:val="20"/>
          <w:szCs w:val="20"/>
          <w:lang w:eastAsia="tr-TR"/>
        </w:rPr>
      </w:pPr>
    </w:p>
    <w:p w:rsidR="00CF2D7A" w:rsidRPr="00CF2D7A" w:rsidRDefault="00CF2D7A" w:rsidP="00CF2D7A">
      <w:pPr>
        <w:pStyle w:val="NormalWeb"/>
        <w:jc w:val="center"/>
        <w:rPr>
          <w:b/>
          <w:color w:val="000080"/>
          <w:sz w:val="20"/>
          <w:szCs w:val="20"/>
        </w:rPr>
      </w:pPr>
      <w:r w:rsidRPr="00CF2D7A">
        <w:rPr>
          <w:b/>
          <w:color w:val="000080"/>
          <w:sz w:val="20"/>
          <w:szCs w:val="20"/>
        </w:rPr>
        <w:t>BAKANLAR KURULU KARARI</w:t>
      </w:r>
    </w:p>
    <w:p w:rsidR="002E3193" w:rsidRPr="00CF2D7A" w:rsidRDefault="002E3193" w:rsidP="00F17BB7">
      <w:pPr>
        <w:spacing w:after="0" w:line="300" w:lineRule="atLeast"/>
        <w:jc w:val="right"/>
        <w:rPr>
          <w:rFonts w:ascii="Times New Roman" w:eastAsia="Times New Roman" w:hAnsi="Times New Roman" w:cs="Times New Roman"/>
          <w:sz w:val="20"/>
          <w:szCs w:val="20"/>
          <w:lang w:eastAsia="tr-TR"/>
        </w:rPr>
      </w:pPr>
    </w:p>
    <w:p w:rsidR="00CF2D7A" w:rsidRPr="00CF2D7A" w:rsidRDefault="00CF2D7A" w:rsidP="00CF2D7A">
      <w:pPr>
        <w:tabs>
          <w:tab w:val="left" w:pos="566"/>
          <w:tab w:val="center" w:pos="3543"/>
        </w:tabs>
        <w:spacing w:line="240" w:lineRule="exact"/>
        <w:rPr>
          <w:rStyle w:val="Normal1"/>
          <w:rFonts w:eastAsiaTheme="minorHAnsi"/>
          <w:sz w:val="20"/>
          <w:szCs w:val="20"/>
          <w:lang w:val="tr-TR"/>
        </w:rPr>
      </w:pPr>
      <w:r w:rsidRPr="00CF2D7A">
        <w:rPr>
          <w:rStyle w:val="Normal1"/>
          <w:rFonts w:eastAsiaTheme="minorHAnsi"/>
          <w:b/>
          <w:sz w:val="20"/>
          <w:szCs w:val="20"/>
          <w:u w:val="single"/>
        </w:rPr>
        <w:t xml:space="preserve">Karar </w:t>
      </w:r>
      <w:proofErr w:type="gramStart"/>
      <w:r w:rsidRPr="00CF2D7A">
        <w:rPr>
          <w:rStyle w:val="Normal1"/>
          <w:rFonts w:eastAsiaTheme="minorHAnsi"/>
          <w:b/>
          <w:sz w:val="20"/>
          <w:szCs w:val="20"/>
          <w:u w:val="single"/>
        </w:rPr>
        <w:t>Sayısı :</w:t>
      </w:r>
      <w:proofErr w:type="gramEnd"/>
      <w:r w:rsidRPr="00CF2D7A">
        <w:rPr>
          <w:rStyle w:val="Normal1"/>
          <w:rFonts w:eastAsiaTheme="minorHAnsi"/>
          <w:b/>
          <w:sz w:val="20"/>
          <w:szCs w:val="20"/>
          <w:u w:val="single"/>
        </w:rPr>
        <w:t xml:space="preserve"> 2012/3305</w:t>
      </w:r>
    </w:p>
    <w:p w:rsidR="00CF2D7A" w:rsidRPr="00CF2D7A" w:rsidRDefault="00CF2D7A" w:rsidP="00CF2D7A">
      <w:pPr>
        <w:tabs>
          <w:tab w:val="left" w:pos="566"/>
          <w:tab w:val="center" w:pos="3543"/>
        </w:tabs>
        <w:spacing w:line="240" w:lineRule="exact"/>
        <w:jc w:val="both"/>
        <w:rPr>
          <w:rStyle w:val="Normal1"/>
          <w:rFonts w:eastAsiaTheme="minorHAnsi"/>
          <w:sz w:val="20"/>
          <w:szCs w:val="20"/>
        </w:rPr>
      </w:pPr>
      <w:r w:rsidRPr="00CF2D7A">
        <w:rPr>
          <w:rStyle w:val="Normal1"/>
          <w:rFonts w:eastAsiaTheme="minorHAnsi"/>
          <w:sz w:val="20"/>
          <w:szCs w:val="20"/>
        </w:rPr>
        <w:tab/>
        <w:t>Ekli “Yatırımlarda Devlet Yardımları Hakkında Karar”ın yürürlüğe konulması; Ekonomi Bakanlığının 15/6/2012 tarihli ve 43145 sayılı yazısı üzerine, 14/5/1964 tarihli ve 474 sayılı Kanunun 2 nci, 29/6/2001 tarihli ve 4706 sayılı Kanunun ek 3 üncü, 31/5/2006 tarihli ve 5510 sayılı Kanunun ek 2 nci, 25/10/1984 tarihli ve 3065 sayılı Kanunun 13 üncü ve geçici 30 uncu, 3/6/2011 tarihli ve 637 sayılı Kanun Hükmünde Kararnamenin 11 inci ve 26 ncı maddeleri ile 13/6/2006 tarihli ve 5520 sayılı Kanunun 32/A maddesine göre, Bakanlar Kurulu’nca 15/6/2012 tarihinde kararlaştırılmıştır.</w:t>
      </w:r>
    </w:p>
    <w:p w:rsidR="00CF2D7A" w:rsidRPr="00CF2D7A" w:rsidRDefault="00CF2D7A" w:rsidP="00CF2D7A">
      <w:pPr>
        <w:tabs>
          <w:tab w:val="left" w:pos="566"/>
          <w:tab w:val="center" w:pos="3543"/>
        </w:tabs>
        <w:spacing w:line="240" w:lineRule="exact"/>
        <w:jc w:val="both"/>
        <w:rPr>
          <w:rStyle w:val="Normal1"/>
          <w:rFonts w:eastAsiaTheme="minorHAnsi"/>
          <w:sz w:val="20"/>
          <w:szCs w:val="20"/>
        </w:rPr>
      </w:pPr>
    </w:p>
    <w:p w:rsidR="00CF2D7A" w:rsidRPr="00CF2D7A" w:rsidRDefault="00CF2D7A" w:rsidP="00CF2D7A">
      <w:pPr>
        <w:tabs>
          <w:tab w:val="center" w:pos="6946"/>
        </w:tabs>
        <w:spacing w:line="240" w:lineRule="exact"/>
        <w:jc w:val="both"/>
        <w:rPr>
          <w:rStyle w:val="Normal1"/>
          <w:rFonts w:eastAsiaTheme="minorHAnsi"/>
          <w:sz w:val="20"/>
          <w:szCs w:val="20"/>
        </w:rPr>
      </w:pPr>
      <w:r w:rsidRPr="00CF2D7A">
        <w:rPr>
          <w:rStyle w:val="Normal1"/>
          <w:rFonts w:eastAsiaTheme="minorHAnsi"/>
          <w:b/>
          <w:sz w:val="20"/>
          <w:szCs w:val="20"/>
        </w:rPr>
        <w:tab/>
        <w:t>Abdullah GÜL</w:t>
      </w:r>
    </w:p>
    <w:p w:rsidR="00CF2D7A" w:rsidRPr="00CF2D7A" w:rsidRDefault="00CF2D7A" w:rsidP="00CF2D7A">
      <w:pPr>
        <w:tabs>
          <w:tab w:val="center" w:pos="6946"/>
        </w:tabs>
        <w:spacing w:line="240" w:lineRule="exact"/>
        <w:jc w:val="both"/>
        <w:rPr>
          <w:rStyle w:val="Normal1"/>
          <w:rFonts w:eastAsiaTheme="minorHAnsi"/>
          <w:sz w:val="20"/>
          <w:szCs w:val="20"/>
        </w:rPr>
      </w:pPr>
      <w:r w:rsidRPr="00CF2D7A">
        <w:rPr>
          <w:rStyle w:val="Normal1"/>
          <w:rFonts w:eastAsiaTheme="minorHAnsi"/>
          <w:sz w:val="20"/>
          <w:szCs w:val="20"/>
        </w:rPr>
        <w:tab/>
        <w:t>CUMHURBAŞKANI</w:t>
      </w:r>
    </w:p>
    <w:p w:rsidR="00CF2D7A" w:rsidRPr="00CF2D7A" w:rsidRDefault="00CF2D7A" w:rsidP="00CF2D7A">
      <w:pPr>
        <w:tabs>
          <w:tab w:val="center" w:pos="5940"/>
        </w:tabs>
        <w:spacing w:line="240" w:lineRule="exact"/>
        <w:jc w:val="both"/>
        <w:rPr>
          <w:rStyle w:val="Normal1"/>
          <w:rFonts w:eastAsiaTheme="minorHAnsi"/>
          <w:sz w:val="20"/>
          <w:szCs w:val="20"/>
        </w:rPr>
      </w:pPr>
    </w:p>
    <w:p w:rsidR="00CF2D7A" w:rsidRPr="00CF2D7A" w:rsidRDefault="00CF2D7A" w:rsidP="00CF2D7A">
      <w:pPr>
        <w:tabs>
          <w:tab w:val="center" w:pos="1098"/>
          <w:tab w:val="center" w:pos="2636"/>
          <w:tab w:val="center" w:pos="4450"/>
          <w:tab w:val="center" w:pos="6200"/>
        </w:tabs>
        <w:spacing w:line="240" w:lineRule="exact"/>
        <w:jc w:val="both"/>
        <w:rPr>
          <w:rStyle w:val="Normal1"/>
          <w:rFonts w:eastAsiaTheme="minorHAnsi"/>
          <w:sz w:val="20"/>
          <w:szCs w:val="20"/>
        </w:rPr>
      </w:pPr>
      <w:r w:rsidRPr="00CF2D7A">
        <w:rPr>
          <w:rStyle w:val="Normal1"/>
          <w:rFonts w:eastAsiaTheme="minorHAnsi"/>
          <w:sz w:val="20"/>
          <w:szCs w:val="20"/>
        </w:rPr>
        <w:tab/>
        <w:t>Recep Tayyip ERDOĞAN</w:t>
      </w:r>
    </w:p>
    <w:p w:rsidR="00CF2D7A" w:rsidRPr="00CF2D7A" w:rsidRDefault="00CF2D7A" w:rsidP="00CF2D7A">
      <w:pPr>
        <w:tabs>
          <w:tab w:val="center" w:pos="1098"/>
          <w:tab w:val="center" w:pos="2636"/>
          <w:tab w:val="center" w:pos="4450"/>
          <w:tab w:val="center" w:pos="6200"/>
        </w:tabs>
        <w:spacing w:line="240" w:lineRule="exact"/>
        <w:jc w:val="both"/>
        <w:rPr>
          <w:rStyle w:val="Normal1"/>
          <w:rFonts w:eastAsiaTheme="minorHAnsi"/>
          <w:sz w:val="20"/>
          <w:szCs w:val="20"/>
        </w:rPr>
      </w:pPr>
      <w:r w:rsidRPr="00CF2D7A">
        <w:rPr>
          <w:rStyle w:val="Normal1"/>
          <w:rFonts w:eastAsiaTheme="minorHAnsi"/>
          <w:sz w:val="20"/>
          <w:szCs w:val="20"/>
        </w:rPr>
        <w:tab/>
        <w:t>Başbakan</w:t>
      </w:r>
    </w:p>
    <w:p w:rsidR="00CF2D7A" w:rsidRPr="00CF2D7A" w:rsidRDefault="00CF2D7A" w:rsidP="00CF2D7A">
      <w:pPr>
        <w:tabs>
          <w:tab w:val="center" w:pos="850"/>
          <w:tab w:val="center" w:pos="2636"/>
          <w:tab w:val="center" w:pos="4450"/>
          <w:tab w:val="center" w:pos="6200"/>
        </w:tabs>
        <w:spacing w:line="240" w:lineRule="exact"/>
        <w:jc w:val="both"/>
        <w:rPr>
          <w:rStyle w:val="Normal1"/>
          <w:rFonts w:eastAsiaTheme="minorHAnsi"/>
          <w:sz w:val="20"/>
          <w:szCs w:val="20"/>
        </w:rPr>
      </w:pPr>
    </w:p>
    <w:tbl>
      <w:tblPr>
        <w:tblW w:w="8789" w:type="dxa"/>
        <w:jc w:val="center"/>
        <w:tblLook w:val="01E0"/>
      </w:tblPr>
      <w:tblGrid>
        <w:gridCol w:w="2125"/>
        <w:gridCol w:w="2187"/>
        <w:gridCol w:w="2291"/>
        <w:gridCol w:w="2186"/>
      </w:tblGrid>
      <w:tr w:rsidR="00CF2D7A" w:rsidRPr="00CF2D7A">
        <w:trPr>
          <w:jc w:val="center"/>
        </w:trPr>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B. ARINÇ</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C. YILMAZ</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B. ATALAY</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B. BOZDAĞ</w:t>
            </w:r>
          </w:p>
        </w:tc>
      </w:tr>
      <w:tr w:rsidR="00CF2D7A" w:rsidRPr="00CF2D7A">
        <w:trPr>
          <w:jc w:val="center"/>
        </w:trPr>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Başbakan Yardımcısı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Başbakan Yardımcısı V.</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Başbakan Yardımcısı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Başbakan Yardımcısı</w:t>
            </w:r>
          </w:p>
        </w:tc>
      </w:tr>
      <w:tr w:rsidR="00CF2D7A" w:rsidRPr="00CF2D7A">
        <w:trPr>
          <w:jc w:val="center"/>
        </w:trPr>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r>
      <w:tr w:rsidR="00CF2D7A" w:rsidRPr="00CF2D7A">
        <w:trPr>
          <w:jc w:val="center"/>
        </w:trPr>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S. ERGİN</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F. ŞAHİN</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E. BAĞIŞ</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N. ERGÜN</w:t>
            </w:r>
          </w:p>
        </w:tc>
      </w:tr>
      <w:tr w:rsidR="00CF2D7A" w:rsidRPr="00CF2D7A">
        <w:trPr>
          <w:jc w:val="center"/>
        </w:trPr>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Adalet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Aile ve Sosyal Politikalar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Avrupa Birliği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Bilim, Sanayi ve Teknoloji Bakanı</w:t>
            </w:r>
          </w:p>
        </w:tc>
      </w:tr>
      <w:tr w:rsidR="00CF2D7A" w:rsidRPr="00CF2D7A">
        <w:trPr>
          <w:jc w:val="center"/>
        </w:trPr>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r>
      <w:tr w:rsidR="00CF2D7A" w:rsidRPr="00CF2D7A">
        <w:trPr>
          <w:jc w:val="center"/>
        </w:trPr>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F. ÇELİK</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E. BAYRAKTAR</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A. DAVUTOĞLU</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M. Z. ÇAĞLAYAN</w:t>
            </w:r>
          </w:p>
        </w:tc>
      </w:tr>
      <w:tr w:rsidR="00CF2D7A" w:rsidRPr="00CF2D7A">
        <w:trPr>
          <w:jc w:val="center"/>
        </w:trPr>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Çalışma ve Sosyal Güvenlik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Çevre ve Şehircilik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Dışişleri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Ekonomi Bakanı</w:t>
            </w:r>
          </w:p>
        </w:tc>
      </w:tr>
      <w:tr w:rsidR="00CF2D7A" w:rsidRPr="00CF2D7A">
        <w:trPr>
          <w:jc w:val="center"/>
        </w:trPr>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r>
      <w:tr w:rsidR="00CF2D7A" w:rsidRPr="00CF2D7A">
        <w:trPr>
          <w:jc w:val="center"/>
        </w:trPr>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T. YILDIZ</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E. BAYRAKTAR</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M. M. EKER</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H. YAZICI</w:t>
            </w:r>
          </w:p>
        </w:tc>
      </w:tr>
      <w:tr w:rsidR="00CF2D7A" w:rsidRPr="00CF2D7A">
        <w:trPr>
          <w:jc w:val="center"/>
        </w:trPr>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Enerji ve Tabii Kaynaklar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Gençlik ve Spor Bakanı V.</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Gıda, Tarım ve Hayvancılık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Gümrük ve Ticaret Bakanı</w:t>
            </w:r>
          </w:p>
        </w:tc>
      </w:tr>
      <w:tr w:rsidR="00CF2D7A" w:rsidRPr="00CF2D7A">
        <w:trPr>
          <w:jc w:val="center"/>
        </w:trPr>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c>
          <w:tcPr>
            <w:tcW w:w="0" w:type="auto"/>
          </w:tcPr>
          <w:p w:rsidR="00CF2D7A" w:rsidRPr="00CF2D7A" w:rsidRDefault="00CF2D7A">
            <w:pPr>
              <w:spacing w:line="240" w:lineRule="exact"/>
              <w:jc w:val="center"/>
              <w:rPr>
                <w:rStyle w:val="Normal1"/>
                <w:rFonts w:eastAsiaTheme="minorHAnsi"/>
                <w:sz w:val="20"/>
                <w:szCs w:val="20"/>
              </w:rPr>
            </w:pPr>
          </w:p>
        </w:tc>
      </w:tr>
      <w:tr w:rsidR="00CF2D7A" w:rsidRPr="00CF2D7A">
        <w:trPr>
          <w:jc w:val="center"/>
        </w:trPr>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İ. N. ŞAHİN</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C. YILMAZ</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E. GÜNAY</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M. ŞİMŞEK</w:t>
            </w:r>
          </w:p>
        </w:tc>
      </w:tr>
      <w:tr w:rsidR="00CF2D7A" w:rsidRPr="00CF2D7A">
        <w:trPr>
          <w:jc w:val="center"/>
        </w:trPr>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İçişleri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Kalkınma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Kültür ve Turizm Bakanı</w:t>
            </w:r>
          </w:p>
        </w:tc>
        <w:tc>
          <w:tcPr>
            <w:tcW w:w="0" w:type="auto"/>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Maliye Bakanı</w:t>
            </w:r>
          </w:p>
        </w:tc>
      </w:tr>
    </w:tbl>
    <w:p w:rsidR="00CF2D7A" w:rsidRPr="00CF2D7A" w:rsidRDefault="00CF2D7A" w:rsidP="00CF2D7A">
      <w:pPr>
        <w:tabs>
          <w:tab w:val="center" w:pos="914"/>
          <w:tab w:val="center" w:pos="2690"/>
          <w:tab w:val="center" w:pos="4434"/>
          <w:tab w:val="center" w:pos="6199"/>
        </w:tabs>
        <w:spacing w:line="240" w:lineRule="exact"/>
        <w:jc w:val="both"/>
        <w:rPr>
          <w:rStyle w:val="Normal1"/>
          <w:rFonts w:eastAsiaTheme="minorHAnsi"/>
          <w:sz w:val="20"/>
          <w:szCs w:val="20"/>
          <w:lang w:val="tr-TR"/>
        </w:rPr>
      </w:pPr>
    </w:p>
    <w:tbl>
      <w:tblPr>
        <w:tblW w:w="8789" w:type="dxa"/>
        <w:jc w:val="center"/>
        <w:tblLook w:val="01E0"/>
      </w:tblPr>
      <w:tblGrid>
        <w:gridCol w:w="3292"/>
        <w:gridCol w:w="2268"/>
        <w:gridCol w:w="3229"/>
      </w:tblGrid>
      <w:tr w:rsidR="00CF2D7A" w:rsidRPr="00CF2D7A">
        <w:trPr>
          <w:jc w:val="center"/>
        </w:trPr>
        <w:tc>
          <w:tcPr>
            <w:tcW w:w="3292" w:type="dxa"/>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lastRenderedPageBreak/>
              <w:t>Ö. DİNÇER</w:t>
            </w:r>
          </w:p>
        </w:tc>
        <w:tc>
          <w:tcPr>
            <w:tcW w:w="2268" w:type="dxa"/>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İ. YILMAZ</w:t>
            </w:r>
          </w:p>
        </w:tc>
        <w:tc>
          <w:tcPr>
            <w:tcW w:w="3229" w:type="dxa"/>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V. EROĞLU</w:t>
            </w:r>
          </w:p>
        </w:tc>
      </w:tr>
      <w:tr w:rsidR="00CF2D7A" w:rsidRPr="00CF2D7A">
        <w:trPr>
          <w:jc w:val="center"/>
        </w:trPr>
        <w:tc>
          <w:tcPr>
            <w:tcW w:w="3292" w:type="dxa"/>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Milli Eğitim Bakanı</w:t>
            </w:r>
          </w:p>
        </w:tc>
        <w:tc>
          <w:tcPr>
            <w:tcW w:w="2268" w:type="dxa"/>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Milli Savunma Bakanı</w:t>
            </w:r>
          </w:p>
        </w:tc>
        <w:tc>
          <w:tcPr>
            <w:tcW w:w="3229" w:type="dxa"/>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Orman ve Su İşleri Bakanı</w:t>
            </w:r>
          </w:p>
        </w:tc>
      </w:tr>
    </w:tbl>
    <w:p w:rsidR="00CF2D7A" w:rsidRPr="00CF2D7A" w:rsidRDefault="00CF2D7A" w:rsidP="00CF2D7A">
      <w:pPr>
        <w:tabs>
          <w:tab w:val="center" w:pos="1595"/>
          <w:tab w:val="center" w:pos="3514"/>
          <w:tab w:val="center" w:pos="5518"/>
        </w:tabs>
        <w:spacing w:line="240" w:lineRule="exact"/>
        <w:jc w:val="both"/>
        <w:rPr>
          <w:rStyle w:val="Normal1"/>
          <w:rFonts w:eastAsiaTheme="minorHAnsi"/>
          <w:sz w:val="20"/>
          <w:szCs w:val="20"/>
          <w:lang w:val="tr-TR"/>
        </w:rPr>
      </w:pPr>
    </w:p>
    <w:tbl>
      <w:tblPr>
        <w:tblW w:w="8789" w:type="dxa"/>
        <w:jc w:val="center"/>
        <w:tblLook w:val="01E0"/>
      </w:tblPr>
      <w:tblGrid>
        <w:gridCol w:w="3999"/>
        <w:gridCol w:w="4790"/>
      </w:tblGrid>
      <w:tr w:rsidR="00CF2D7A" w:rsidRPr="00CF2D7A">
        <w:trPr>
          <w:jc w:val="center"/>
        </w:trPr>
        <w:tc>
          <w:tcPr>
            <w:tcW w:w="3999" w:type="dxa"/>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R. AKDAĞ</w:t>
            </w:r>
          </w:p>
        </w:tc>
        <w:tc>
          <w:tcPr>
            <w:tcW w:w="4790" w:type="dxa"/>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B. YILDIRIM</w:t>
            </w:r>
          </w:p>
        </w:tc>
      </w:tr>
      <w:tr w:rsidR="00CF2D7A" w:rsidRPr="00CF2D7A">
        <w:trPr>
          <w:jc w:val="center"/>
        </w:trPr>
        <w:tc>
          <w:tcPr>
            <w:tcW w:w="3999" w:type="dxa"/>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Sağlık Bakanı</w:t>
            </w:r>
          </w:p>
        </w:tc>
        <w:tc>
          <w:tcPr>
            <w:tcW w:w="4790" w:type="dxa"/>
            <w:hideMark/>
          </w:tcPr>
          <w:p w:rsidR="00CF2D7A" w:rsidRPr="00CF2D7A" w:rsidRDefault="00CF2D7A">
            <w:pPr>
              <w:spacing w:line="240" w:lineRule="exact"/>
              <w:jc w:val="center"/>
              <w:rPr>
                <w:rStyle w:val="Normal1"/>
                <w:rFonts w:eastAsiaTheme="minorHAnsi"/>
                <w:sz w:val="20"/>
                <w:szCs w:val="20"/>
              </w:rPr>
            </w:pPr>
            <w:r w:rsidRPr="00CF2D7A">
              <w:rPr>
                <w:rStyle w:val="Normal1"/>
                <w:rFonts w:eastAsiaTheme="minorHAnsi"/>
                <w:sz w:val="20"/>
                <w:szCs w:val="20"/>
              </w:rPr>
              <w:t>Ulaştırma, Denizcilik ve Haberleşme Bakanı</w:t>
            </w:r>
          </w:p>
        </w:tc>
      </w:tr>
    </w:tbl>
    <w:p w:rsidR="00CF2D7A" w:rsidRPr="00CF2D7A" w:rsidRDefault="00CF2D7A" w:rsidP="00CF2D7A">
      <w:pPr>
        <w:tabs>
          <w:tab w:val="center" w:pos="826"/>
          <w:tab w:val="center" w:pos="2561"/>
          <w:tab w:val="center" w:pos="4377"/>
          <w:tab w:val="center" w:pos="6066"/>
        </w:tabs>
        <w:spacing w:line="240" w:lineRule="exact"/>
        <w:jc w:val="center"/>
        <w:rPr>
          <w:rStyle w:val="Normal1"/>
          <w:rFonts w:eastAsiaTheme="minorHAnsi"/>
          <w:b/>
          <w:sz w:val="20"/>
          <w:szCs w:val="20"/>
          <w:lang w:val="tr-TR"/>
        </w:rPr>
      </w:pPr>
    </w:p>
    <w:p w:rsidR="00CF2D7A" w:rsidRPr="00CF2D7A" w:rsidRDefault="00CF2D7A" w:rsidP="00CF2D7A">
      <w:pPr>
        <w:tabs>
          <w:tab w:val="center" w:pos="826"/>
          <w:tab w:val="center" w:pos="2561"/>
          <w:tab w:val="center" w:pos="4377"/>
          <w:tab w:val="center" w:pos="6066"/>
        </w:tabs>
        <w:spacing w:line="240" w:lineRule="exact"/>
        <w:jc w:val="center"/>
        <w:rPr>
          <w:rStyle w:val="Normal1"/>
          <w:rFonts w:eastAsiaTheme="minorHAnsi"/>
          <w:b/>
          <w:sz w:val="20"/>
          <w:szCs w:val="20"/>
        </w:rPr>
      </w:pPr>
    </w:p>
    <w:p w:rsidR="00CF2D7A" w:rsidRPr="00CF2D7A" w:rsidRDefault="00CF2D7A" w:rsidP="00CF2D7A">
      <w:pPr>
        <w:tabs>
          <w:tab w:val="center" w:pos="826"/>
          <w:tab w:val="center" w:pos="2561"/>
          <w:tab w:val="center" w:pos="4377"/>
          <w:tab w:val="center" w:pos="6066"/>
        </w:tabs>
        <w:spacing w:line="240" w:lineRule="exact"/>
        <w:jc w:val="center"/>
        <w:rPr>
          <w:rStyle w:val="Normal1"/>
          <w:rFonts w:eastAsiaTheme="minorHAnsi"/>
          <w:b/>
          <w:sz w:val="20"/>
          <w:szCs w:val="20"/>
        </w:rPr>
      </w:pPr>
    </w:p>
    <w:p w:rsidR="00CF2D7A" w:rsidRPr="00CF2D7A" w:rsidRDefault="00CF2D7A" w:rsidP="00CF2D7A">
      <w:pPr>
        <w:tabs>
          <w:tab w:val="center" w:pos="826"/>
          <w:tab w:val="center" w:pos="2561"/>
          <w:tab w:val="center" w:pos="4377"/>
          <w:tab w:val="center" w:pos="6066"/>
        </w:tabs>
        <w:spacing w:line="240" w:lineRule="exact"/>
        <w:jc w:val="center"/>
        <w:rPr>
          <w:rStyle w:val="Normal1"/>
          <w:rFonts w:eastAsiaTheme="minorHAnsi"/>
          <w:b/>
          <w:sz w:val="20"/>
          <w:szCs w:val="20"/>
        </w:rPr>
      </w:pPr>
      <w:r w:rsidRPr="00CF2D7A">
        <w:rPr>
          <w:rStyle w:val="Normal1"/>
          <w:rFonts w:eastAsiaTheme="minorHAnsi"/>
          <w:b/>
          <w:sz w:val="20"/>
          <w:szCs w:val="20"/>
        </w:rPr>
        <w:t>YATIRIMLARDA DEVLET YARDIMLARI HAKKINDA KARAR</w:t>
      </w:r>
    </w:p>
    <w:p w:rsidR="00CF2D7A" w:rsidRPr="00CF2D7A" w:rsidRDefault="00CF2D7A" w:rsidP="00CF2D7A">
      <w:pPr>
        <w:tabs>
          <w:tab w:val="center" w:pos="826"/>
          <w:tab w:val="center" w:pos="2561"/>
          <w:tab w:val="center" w:pos="4377"/>
          <w:tab w:val="center" w:pos="6066"/>
        </w:tabs>
        <w:spacing w:line="240" w:lineRule="exact"/>
        <w:jc w:val="center"/>
        <w:rPr>
          <w:rStyle w:val="Normal1"/>
          <w:rFonts w:eastAsiaTheme="minorHAnsi"/>
          <w:b/>
          <w:sz w:val="20"/>
          <w:szCs w:val="20"/>
        </w:rPr>
      </w:pP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Amaç</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b/>
          <w:sz w:val="20"/>
          <w:szCs w:val="20"/>
        </w:rPr>
        <w:t>MADDE 1 - (</w:t>
      </w:r>
      <w:r w:rsidRPr="00CF2D7A">
        <w:rPr>
          <w:rStyle w:val="Normal1"/>
          <w:rFonts w:eastAsiaTheme="minorHAnsi"/>
          <w:sz w:val="20"/>
          <w:szCs w:val="20"/>
        </w:rPr>
        <w:t>1) Bu Kararın amacı; kalkınma planları ve yıllık programlarda öngörülen hedefler doğrultusunda tasarrufların katma değeri yüksek yatırımlara yönlendirilmesine, üretim ve istihdamın artırılmasına, uluslararası rekabet gücünü artıracak ve araştırma- geliştirme içeriği yüksek bölgesel ve büyük ölçekli yatırımlar ile stratejik yatırımların özendirilmesine, uluslararası doğrudan yatırımların artırılmasına, bölgesel gelişmişlik farklılıklarının azaltılmasına, kümelenme ve çevre korumaya yönelik yatırımlar ile araştırma ve geliştirme faaliyetlerinin desteklenmesine ilişkin usul ve esasları belirlemektir.</w:t>
      </w: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Tanımlar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b/>
          <w:sz w:val="20"/>
          <w:szCs w:val="20"/>
        </w:rPr>
        <w:t>MADDE 2 - (</w:t>
      </w:r>
      <w:r w:rsidRPr="00CF2D7A">
        <w:rPr>
          <w:rStyle w:val="Normal1"/>
          <w:rFonts w:eastAsiaTheme="minorHAnsi"/>
          <w:sz w:val="20"/>
          <w:szCs w:val="20"/>
        </w:rPr>
        <w:t>1) Bu Kararın uygulanmasında;</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a) Aracı kurum: Faiz desteğini uygulayacak kamu bankaları dâhil olmak üzere bankaları ve finansal kiralama şirketlerini,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b) AR-GE yatırımı: </w:t>
      </w:r>
      <w:r w:rsidRPr="00CF2D7A">
        <w:rPr>
          <w:rFonts w:ascii="Times New Roman" w:hAnsi="Times New Roman" w:cs="Times New Roman"/>
          <w:bCs/>
          <w:sz w:val="20"/>
          <w:szCs w:val="20"/>
        </w:rPr>
        <w:t>Yeni bir ürün geliştirilmesi, ürün kalite ve standardının yükseltilmesi, maliyet düşürücü ve standart yükseltici yeni bir teknolojinin ülke şartlarına uyumunun sağlanması amacıyla bilimsel esaslara uygun olarak yapılan ve her aşaması belirlenmiş araştırma ve geliştirme çalışmaları için gerçekleştirilecek yatırımları,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c) Bakan: Ekonomi Bakanını,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ç) Bakanlık: Ekonomi Bakanlığını,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d) Büyük ölçekli yatırım: 13/6/2006 tarihli ve 5520 sayılı Kurumlar Vergisi Kanununun 32/A maddesi kapsamında belirlenen ve EK-</w:t>
      </w:r>
      <w:proofErr w:type="gramStart"/>
      <w:r w:rsidRPr="00CF2D7A">
        <w:rPr>
          <w:rStyle w:val="Normal1"/>
          <w:rFonts w:eastAsiaTheme="minorHAnsi"/>
          <w:sz w:val="20"/>
          <w:szCs w:val="20"/>
        </w:rPr>
        <w:t>3’te</w:t>
      </w:r>
      <w:proofErr w:type="gramEnd"/>
      <w:r w:rsidRPr="00CF2D7A">
        <w:rPr>
          <w:rStyle w:val="Normal1"/>
          <w:rFonts w:eastAsiaTheme="minorHAnsi"/>
          <w:sz w:val="20"/>
          <w:szCs w:val="20"/>
        </w:rPr>
        <w:t xml:space="preserve"> gösterilen yatırımları,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e) Çevre yatırımı: Doğrudan ticari mal üretimine yönelik olmayan, mevcut veya gerçekleştirilecek tesislerin katı, sıvı veya gaz gibi atıklarının temizlenmesine veya yok edilmesine yönelik yatırımları,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f) Genel Müdürlük: Ekonomi Bakanlığı Teşvik Uygulama ve Yabancı Sermaye Genel Müdürlüğünü,</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g) Komisyon: Ekonomi Bakanlığı bünyesinde Bakan onayı ile oluşturulan Stratejik Yatırımları Değerlendirme Komisyonunu,</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ğ) Muhasebe birimi: Ekonomi Bakanlığı muhasebe birimini,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h) Sabit yatırım tutarı: Arazi-arsa, bina-inşaat, makine ve teçhizat ile diğer yatırım harcaması kalemlerinin toplamını,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ı) Teşvik belgesi: Yatırım teşvik belgesini,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lastRenderedPageBreak/>
        <w:t>i) Ürün: Teşvik belgesine konu yatırımla elde edilmesi amaçlanan asıl işlem görmüş imalat sanayi ürün veya ürünlerini,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j) Yatırımcı: Teşvik belgesi kapsamı yatırımı gerçekleştirecek gerçek veya tüzel kişileri,</w:t>
      </w: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k) Yerel birimler: Kalkınma Ajansları, sanayi odaları ve Bakanlıkça görevlendirilecek diğer odaları,</w:t>
      </w:r>
    </w:p>
    <w:p w:rsidR="00CF2D7A" w:rsidRPr="00CF2D7A" w:rsidRDefault="00CF2D7A" w:rsidP="00CF2D7A">
      <w:pPr>
        <w:tabs>
          <w:tab w:val="left" w:pos="566"/>
        </w:tabs>
        <w:spacing w:line="240" w:lineRule="exact"/>
        <w:ind w:firstLine="567"/>
        <w:jc w:val="both"/>
        <w:rPr>
          <w:rStyle w:val="Normal1"/>
          <w:rFonts w:eastAsiaTheme="minorHAnsi"/>
          <w:sz w:val="20"/>
          <w:szCs w:val="20"/>
          <w:lang w:val="tr-TR"/>
        </w:rPr>
      </w:pPr>
      <w:proofErr w:type="gramStart"/>
      <w:r w:rsidRPr="00CF2D7A">
        <w:rPr>
          <w:rStyle w:val="Normal1"/>
          <w:rFonts w:eastAsiaTheme="minorHAnsi"/>
          <w:sz w:val="20"/>
          <w:szCs w:val="20"/>
        </w:rPr>
        <w:t>ifade</w:t>
      </w:r>
      <w:proofErr w:type="gramEnd"/>
      <w:r w:rsidRPr="00CF2D7A">
        <w:rPr>
          <w:rStyle w:val="Normal1"/>
          <w:rFonts w:eastAsiaTheme="minorHAnsi"/>
          <w:sz w:val="20"/>
          <w:szCs w:val="20"/>
        </w:rPr>
        <w:t xml:space="preserve"> eder.</w:t>
      </w: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Bölgeler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b/>
          <w:sz w:val="20"/>
          <w:szCs w:val="20"/>
        </w:rPr>
        <w:t>MADDE 3 - (</w:t>
      </w:r>
      <w:r w:rsidRPr="00CF2D7A">
        <w:rPr>
          <w:rStyle w:val="Normal1"/>
          <w:rFonts w:eastAsiaTheme="minorHAnsi"/>
          <w:sz w:val="20"/>
          <w:szCs w:val="20"/>
        </w:rPr>
        <w:t xml:space="preserve">1) Bu Karar kapsamında yer </w:t>
      </w:r>
      <w:proofErr w:type="gramStart"/>
      <w:r w:rsidRPr="00CF2D7A">
        <w:rPr>
          <w:rStyle w:val="Normal1"/>
          <w:rFonts w:eastAsiaTheme="minorHAnsi"/>
          <w:sz w:val="20"/>
          <w:szCs w:val="20"/>
        </w:rPr>
        <w:t>alan</w:t>
      </w:r>
      <w:proofErr w:type="gramEnd"/>
      <w:r w:rsidRPr="00CF2D7A">
        <w:rPr>
          <w:rStyle w:val="Normal1"/>
          <w:rFonts w:eastAsiaTheme="minorHAnsi"/>
          <w:sz w:val="20"/>
          <w:szCs w:val="20"/>
        </w:rPr>
        <w:t xml:space="preserve"> desteklerin uygulanması açısından iller, sosyo-ekonomik gelişmişlik seviyeleri dikkate alınarak EK-1’de belirtilen</w:t>
      </w:r>
      <w:r w:rsidRPr="00CF2D7A">
        <w:rPr>
          <w:rStyle w:val="Normal1"/>
          <w:rFonts w:eastAsiaTheme="minorHAnsi"/>
          <w:bCs/>
          <w:sz w:val="20"/>
          <w:szCs w:val="20"/>
        </w:rPr>
        <w:t xml:space="preserve"> altı</w:t>
      </w:r>
      <w:r w:rsidRPr="00CF2D7A">
        <w:rPr>
          <w:rStyle w:val="Normal1"/>
          <w:rFonts w:eastAsiaTheme="minorHAnsi"/>
          <w:sz w:val="20"/>
          <w:szCs w:val="20"/>
        </w:rPr>
        <w:t xml:space="preserve"> bölgeye ayrılmıştır.</w:t>
      </w:r>
    </w:p>
    <w:p w:rsidR="00CF2D7A" w:rsidRPr="00CF2D7A" w:rsidRDefault="00CF2D7A" w:rsidP="00CF2D7A">
      <w:pPr>
        <w:spacing w:line="240" w:lineRule="exact"/>
        <w:ind w:firstLine="567"/>
        <w:jc w:val="both"/>
        <w:rPr>
          <w:rFonts w:ascii="Times New Roman" w:hAnsi="Times New Roman" w:cs="Times New Roman"/>
          <w:sz w:val="20"/>
          <w:szCs w:val="20"/>
        </w:rPr>
      </w:pPr>
      <w:r w:rsidRPr="00CF2D7A">
        <w:rPr>
          <w:rStyle w:val="Normal1"/>
          <w:rFonts w:eastAsiaTheme="minorHAnsi"/>
          <w:b/>
          <w:sz w:val="20"/>
          <w:szCs w:val="20"/>
        </w:rPr>
        <w:t>Teşvik sistemi</w:t>
      </w:r>
      <w:r w:rsidRPr="00CF2D7A">
        <w:rPr>
          <w:rFonts w:ascii="Times New Roman" w:hAnsi="Times New Roman" w:cs="Times New Roman"/>
          <w:b/>
          <w:sz w:val="20"/>
          <w:szCs w:val="20"/>
        </w:rPr>
        <w:t xml:space="preserve"> ve destek unsurları</w:t>
      </w:r>
    </w:p>
    <w:p w:rsidR="00CF2D7A" w:rsidRPr="00CF2D7A" w:rsidRDefault="00CF2D7A" w:rsidP="00CF2D7A">
      <w:pPr>
        <w:tabs>
          <w:tab w:val="left" w:pos="540"/>
        </w:tabs>
        <w:spacing w:line="240" w:lineRule="exact"/>
        <w:ind w:firstLine="567"/>
        <w:jc w:val="both"/>
        <w:rPr>
          <w:rFonts w:ascii="Times New Roman" w:hAnsi="Times New Roman" w:cs="Times New Roman"/>
          <w:sz w:val="20"/>
          <w:szCs w:val="20"/>
        </w:rPr>
      </w:pPr>
      <w:r w:rsidRPr="00CF2D7A">
        <w:rPr>
          <w:rFonts w:ascii="Times New Roman" w:hAnsi="Times New Roman" w:cs="Times New Roman"/>
          <w:b/>
          <w:sz w:val="20"/>
          <w:szCs w:val="20"/>
        </w:rPr>
        <w:t>MADDE 4</w:t>
      </w:r>
      <w:r w:rsidRPr="00CF2D7A">
        <w:rPr>
          <w:rFonts w:ascii="Times New Roman" w:hAnsi="Times New Roman" w:cs="Times New Roman"/>
          <w:sz w:val="20"/>
          <w:szCs w:val="20"/>
        </w:rPr>
        <w:t xml:space="preserve"> - (1) Teşvik sistemi; genel, bölgesel, büyük ölçekli ve stratejik yatırımların teşviki uygulamalarından oluşur.</w:t>
      </w:r>
    </w:p>
    <w:p w:rsidR="00CF2D7A" w:rsidRPr="00CF2D7A" w:rsidRDefault="00CF2D7A" w:rsidP="00CF2D7A">
      <w:pPr>
        <w:tabs>
          <w:tab w:val="left" w:pos="540"/>
        </w:tabs>
        <w:spacing w:line="240" w:lineRule="exact"/>
        <w:ind w:firstLine="567"/>
        <w:jc w:val="both"/>
        <w:rPr>
          <w:rStyle w:val="Normal1"/>
          <w:rFonts w:eastAsiaTheme="minorHAnsi"/>
          <w:sz w:val="20"/>
          <w:szCs w:val="20"/>
          <w:lang w:val="tr-TR" w:eastAsia="tr-TR"/>
        </w:rPr>
      </w:pPr>
      <w:r w:rsidRPr="00CF2D7A">
        <w:rPr>
          <w:rFonts w:ascii="Times New Roman" w:hAnsi="Times New Roman" w:cs="Times New Roman"/>
          <w:sz w:val="20"/>
          <w:szCs w:val="20"/>
        </w:rPr>
        <w:t xml:space="preserve">(2) Genel teşvik uygulamaları: </w:t>
      </w:r>
      <w:r w:rsidRPr="00CF2D7A">
        <w:rPr>
          <w:rStyle w:val="Normal1"/>
          <w:rFonts w:eastAsiaTheme="minorHAnsi"/>
          <w:sz w:val="20"/>
          <w:szCs w:val="20"/>
        </w:rPr>
        <w:t>Bölgesel, büyük ölçekli ve stratejik yatırımlar ile EK-4’te yer alan teşvik edilmeyecek yatırım konuları ve teşviki için EK-4’te öngörülen şartları sağlayamayan yatırım konuları hariç olmak üzere, 5 inci maddede belirtilen sabit yatırım tutarları ve üzerindeki yatırımlar bölge ayrımı yapılmaksızın aşağıdaki destek unsurlarından yararlandırılabilir.</w:t>
      </w:r>
    </w:p>
    <w:p w:rsidR="00CF2D7A" w:rsidRPr="00CF2D7A" w:rsidRDefault="00CF2D7A" w:rsidP="00CF2D7A">
      <w:pPr>
        <w:tabs>
          <w:tab w:val="left" w:pos="540"/>
        </w:tabs>
        <w:spacing w:line="240" w:lineRule="exact"/>
        <w:ind w:firstLine="567"/>
        <w:jc w:val="both"/>
        <w:rPr>
          <w:rStyle w:val="Normal1"/>
          <w:rFonts w:eastAsiaTheme="minorHAnsi"/>
          <w:sz w:val="20"/>
          <w:szCs w:val="20"/>
        </w:rPr>
      </w:pPr>
      <w:r w:rsidRPr="00CF2D7A">
        <w:rPr>
          <w:rStyle w:val="Normal1"/>
          <w:rFonts w:eastAsiaTheme="minorHAnsi"/>
          <w:sz w:val="20"/>
          <w:szCs w:val="20"/>
        </w:rPr>
        <w:t>a) Gümrük vergisi muafiyeti.</w:t>
      </w:r>
    </w:p>
    <w:p w:rsidR="00CF2D7A" w:rsidRPr="00CF2D7A" w:rsidRDefault="00CF2D7A" w:rsidP="00CF2D7A">
      <w:pPr>
        <w:tabs>
          <w:tab w:val="left" w:pos="540"/>
        </w:tabs>
        <w:spacing w:line="240" w:lineRule="exact"/>
        <w:ind w:firstLine="567"/>
        <w:jc w:val="both"/>
        <w:rPr>
          <w:rStyle w:val="Normal1"/>
          <w:rFonts w:eastAsiaTheme="minorHAnsi"/>
          <w:sz w:val="20"/>
          <w:szCs w:val="20"/>
        </w:rPr>
      </w:pPr>
      <w:r w:rsidRPr="00CF2D7A">
        <w:rPr>
          <w:rStyle w:val="Normal1"/>
          <w:rFonts w:eastAsiaTheme="minorHAnsi"/>
          <w:sz w:val="20"/>
          <w:szCs w:val="20"/>
        </w:rPr>
        <w:t>b) Katma Değer Vergisi (KDV) istisnası.</w:t>
      </w:r>
    </w:p>
    <w:p w:rsidR="00CF2D7A" w:rsidRPr="00CF2D7A" w:rsidRDefault="00CF2D7A" w:rsidP="00CF2D7A">
      <w:pPr>
        <w:tabs>
          <w:tab w:val="left" w:pos="540"/>
        </w:tabs>
        <w:spacing w:line="240" w:lineRule="exact"/>
        <w:ind w:firstLine="567"/>
        <w:jc w:val="both"/>
        <w:rPr>
          <w:rStyle w:val="Normal1"/>
          <w:rFonts w:eastAsiaTheme="minorHAnsi"/>
          <w:sz w:val="20"/>
          <w:szCs w:val="20"/>
        </w:rPr>
      </w:pPr>
      <w:r w:rsidRPr="00CF2D7A">
        <w:rPr>
          <w:rStyle w:val="Normal1"/>
          <w:rFonts w:eastAsiaTheme="minorHAnsi"/>
          <w:sz w:val="20"/>
          <w:szCs w:val="20"/>
        </w:rPr>
        <w:t>c) Gelir vergisi stopajı desteği (6 ncı bölgede gerçekleştirilecek yatırımlar için).</w:t>
      </w:r>
    </w:p>
    <w:p w:rsidR="00CF2D7A" w:rsidRPr="00CF2D7A" w:rsidRDefault="00CF2D7A" w:rsidP="00CF2D7A">
      <w:pPr>
        <w:tabs>
          <w:tab w:val="left" w:pos="540"/>
        </w:tabs>
        <w:spacing w:line="240" w:lineRule="exact"/>
        <w:ind w:firstLine="567"/>
        <w:jc w:val="both"/>
        <w:rPr>
          <w:rStyle w:val="Normal1"/>
          <w:rFonts w:eastAsiaTheme="minorHAnsi"/>
          <w:sz w:val="20"/>
          <w:szCs w:val="20"/>
        </w:rPr>
      </w:pPr>
      <w:r w:rsidRPr="00CF2D7A">
        <w:rPr>
          <w:rStyle w:val="Normal1"/>
          <w:rFonts w:eastAsiaTheme="minorHAnsi"/>
          <w:sz w:val="20"/>
          <w:szCs w:val="20"/>
        </w:rPr>
        <w:t>ç) Sigorta primi işveren hissesi desteği (tersanelerin gemi inşa yatırımları için).</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Fonts w:ascii="Times New Roman" w:hAnsi="Times New Roman" w:cs="Times New Roman"/>
          <w:sz w:val="20"/>
          <w:szCs w:val="20"/>
        </w:rPr>
        <w:t>(3) Bölgesel teşvik uygulamaları: EK-2B’de iller itibarıyla karşılarında numaraları belirtilen sektörler, EK-2A’da ilin bulunduğu bölgedeki şartları sağlamaları halinde aşa</w:t>
      </w:r>
      <w:r w:rsidRPr="00CF2D7A">
        <w:rPr>
          <w:rStyle w:val="Normal1"/>
          <w:rFonts w:eastAsiaTheme="minorHAnsi"/>
          <w:sz w:val="20"/>
          <w:szCs w:val="20"/>
        </w:rPr>
        <w:t>ğıdaki desteklerden yararlandırılabilir.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a) Gümrük vergisi muafiyeti.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b) KDV istisnası.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c) Vergi indirimi.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ç) Sigorta primi işveren hissesi desteği.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d) Yatırım yeri tahsisi.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e) Faiz desteği (3 üncü, 4 üncü, 5 inci ve 6 ncı bölgelerdeki yatırımlar için).</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f) Gelir vergisi stopajı desteği (6 ncı bölgede gerçekleştirilecek yatırımlar için).</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g) Sigorta primi desteği (6 ncı bölgede gerçekleştirilecek yatırımlar için).</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(4) Büyük ölçekli yatırımlar: EK-</w:t>
      </w:r>
      <w:proofErr w:type="gramStart"/>
      <w:r w:rsidRPr="00CF2D7A">
        <w:rPr>
          <w:rStyle w:val="Normal1"/>
          <w:rFonts w:eastAsiaTheme="minorHAnsi"/>
          <w:sz w:val="20"/>
          <w:szCs w:val="20"/>
        </w:rPr>
        <w:t>3’te</w:t>
      </w:r>
      <w:proofErr w:type="gramEnd"/>
      <w:r w:rsidRPr="00CF2D7A">
        <w:rPr>
          <w:rStyle w:val="Normal1"/>
          <w:rFonts w:eastAsiaTheme="minorHAnsi"/>
          <w:sz w:val="20"/>
          <w:szCs w:val="20"/>
        </w:rPr>
        <w:t xml:space="preserve"> belirtilen asgari tutarları sağlayan yatırım konuları aşağıdaki desteklerden yararlandırılabilir.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a) Gümrük vergisi muafiyeti.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b) KDV istisnası.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c) Vergi indirimi.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ç) Sigorta primi işveren hissesi desteği.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lastRenderedPageBreak/>
        <w:t>d) Yatırım yeri tahsisi.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e) Gelir vergisi stopajı desteği (6 ncı bölgede gerçekleştirilecek yatırımlar için).</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f) Sigorta primi desteği (6 ncı bölgede gerçekleştirilecek yatırımlar için).</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(5) Stratejik yatırımlar: 8 inci maddedeki kriterleri sağlayan yatırımlar bölge farkı gözetilmeksizin aşağıdaki desteklerden yararlandırılabilir.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a) Gümrük vergisi muafiyeti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b) KDV istisnası.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c) Vergi indirimi.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ç) Sigorta primi işveren hissesi desteği.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d) Yatırım yeri tahsisi.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e) Faiz desteği.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f) KDV iadesi.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g) Gelir vergisi stopajı </w:t>
      </w:r>
      <w:proofErr w:type="gramStart"/>
      <w:r w:rsidRPr="00CF2D7A">
        <w:rPr>
          <w:rStyle w:val="Normal1"/>
          <w:rFonts w:eastAsiaTheme="minorHAnsi"/>
          <w:sz w:val="20"/>
          <w:szCs w:val="20"/>
        </w:rPr>
        <w:t>desteği  (</w:t>
      </w:r>
      <w:proofErr w:type="gramEnd"/>
      <w:r w:rsidRPr="00CF2D7A">
        <w:rPr>
          <w:rStyle w:val="Normal1"/>
          <w:rFonts w:eastAsiaTheme="minorHAnsi"/>
          <w:sz w:val="20"/>
          <w:szCs w:val="20"/>
        </w:rPr>
        <w:t>6 ncı bölgede gerçekleştirilecek yatırımlar için).</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ğ) Sigorta primi desteği (6 ncı bölgede gerçekleştirilecek yatırımlar için).</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(6) Üçüncü, dördüncü ve beşinci fıkralar kapsamında teşvik belgesi düzenlenebilecek olan yatırımlar için talep edilmesi halinde genel teşvik uygulamaları çerçevesinde belge düzenlenebilir.</w:t>
      </w: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Sabit yatırım tutarı ve asgari kapasite</w:t>
      </w:r>
    </w:p>
    <w:p w:rsidR="00CF2D7A" w:rsidRPr="00CF2D7A" w:rsidRDefault="00CF2D7A" w:rsidP="00CF2D7A">
      <w:pPr>
        <w:spacing w:line="240" w:lineRule="exact"/>
        <w:ind w:firstLine="567"/>
        <w:jc w:val="both"/>
        <w:rPr>
          <w:rStyle w:val="Normal1"/>
          <w:rFonts w:eastAsiaTheme="minorHAnsi"/>
          <w:sz w:val="20"/>
          <w:szCs w:val="20"/>
        </w:rPr>
      </w:pPr>
      <w:r w:rsidRPr="00CF2D7A">
        <w:rPr>
          <w:rStyle w:val="Normal1"/>
          <w:rFonts w:eastAsiaTheme="minorHAnsi"/>
          <w:b/>
          <w:sz w:val="20"/>
          <w:szCs w:val="20"/>
        </w:rPr>
        <w:t>MADDE 5 - (</w:t>
      </w:r>
      <w:r w:rsidRPr="00CF2D7A">
        <w:rPr>
          <w:rStyle w:val="Normal1"/>
          <w:rFonts w:eastAsiaTheme="minorHAnsi"/>
          <w:sz w:val="20"/>
          <w:szCs w:val="20"/>
        </w:rPr>
        <w:t xml:space="preserve">1) Yatırımların destek unsurlarından yararlanabilmesi için asgari sabit yatırım tutarının; 1 inci ve 2 nci bölgelerde birmilyon Türk Lirası, 3 üncü, 4 üncü, 5 inci ve 6 ncı bölgelerde ise beşyüzbin Türk Lirası olması gerekir. </w:t>
      </w:r>
      <w:proofErr w:type="gramStart"/>
      <w:r w:rsidRPr="00CF2D7A">
        <w:rPr>
          <w:rStyle w:val="Normal1"/>
          <w:rFonts w:eastAsiaTheme="minorHAnsi"/>
          <w:sz w:val="20"/>
          <w:szCs w:val="20"/>
        </w:rPr>
        <w:t xml:space="preserve">Ancak, desteklerden yararlanacak yatırımların varsa </w:t>
      </w:r>
      <w:r w:rsidRPr="00CF2D7A">
        <w:rPr>
          <w:rFonts w:ascii="Times New Roman" w:hAnsi="Times New Roman" w:cs="Times New Roman"/>
          <w:sz w:val="20"/>
          <w:szCs w:val="20"/>
        </w:rPr>
        <w:t xml:space="preserve">8 inci maddede veya </w:t>
      </w:r>
      <w:r w:rsidRPr="00CF2D7A">
        <w:rPr>
          <w:rStyle w:val="Normal1"/>
          <w:rFonts w:eastAsiaTheme="minorHAnsi"/>
          <w:sz w:val="20"/>
          <w:szCs w:val="20"/>
        </w:rPr>
        <w:t>ekli listelerde belirlenen asgari kapasite, sabit yatırım tutarı ve diğer şartları sağlaması da gerekir.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(2) Finansal kiralama yöntemiyle yapılacak yatırımlarda finansal kiralamaya konu makine ve teçhizata ait toplam tutarın, her bir finansal kiralama şirketi için asgari ikiyüzbin Türk Lirası olması gerekir.</w:t>
      </w:r>
    </w:p>
    <w:p w:rsidR="00CF2D7A" w:rsidRPr="00CF2D7A" w:rsidRDefault="00CF2D7A" w:rsidP="00CF2D7A">
      <w:pPr>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(3) Teşvik belgesi kapsamında yatırım harcaması olarak kabul edilen maddi olmayan duran varlıkların (marka, lisans, know-how vb.) oranı, teşvik belgesinde kayıtlı toplam sabit yatırım tutarının yüzde ellisini aşamaz.</w:t>
      </w:r>
    </w:p>
    <w:p w:rsidR="00CF2D7A" w:rsidRPr="00CF2D7A" w:rsidRDefault="00CF2D7A" w:rsidP="00CF2D7A">
      <w:pPr>
        <w:tabs>
          <w:tab w:val="left" w:pos="566"/>
        </w:tabs>
        <w:spacing w:line="240" w:lineRule="exact"/>
        <w:ind w:firstLine="567"/>
        <w:jc w:val="both"/>
        <w:rPr>
          <w:rStyle w:val="Normal1"/>
          <w:rFonts w:eastAsiaTheme="minorHAnsi"/>
          <w:b/>
          <w:sz w:val="20"/>
          <w:szCs w:val="20"/>
          <w:lang w:val="tr-TR"/>
        </w:rPr>
      </w:pPr>
      <w:r w:rsidRPr="00CF2D7A">
        <w:rPr>
          <w:rStyle w:val="Normal1"/>
          <w:rFonts w:eastAsiaTheme="minorHAnsi"/>
          <w:b/>
          <w:sz w:val="20"/>
          <w:szCs w:val="20"/>
        </w:rPr>
        <w:t>Müracaat</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b/>
          <w:sz w:val="20"/>
          <w:szCs w:val="20"/>
        </w:rPr>
        <w:t>MADDE 6 - (</w:t>
      </w:r>
      <w:r w:rsidRPr="00CF2D7A">
        <w:rPr>
          <w:rStyle w:val="Normal1"/>
          <w:rFonts w:eastAsiaTheme="minorHAnsi"/>
          <w:sz w:val="20"/>
          <w:szCs w:val="20"/>
        </w:rPr>
        <w:t>1) Teşvik belgesi müracaatları, tebliğle belirlenecek bilgi ve belgelerle Bakanlığa yapılır.</w:t>
      </w:r>
      <w:proofErr w:type="gramEnd"/>
      <w:r w:rsidRPr="00CF2D7A">
        <w:rPr>
          <w:rStyle w:val="Normal1"/>
          <w:rFonts w:eastAsiaTheme="minorHAnsi"/>
          <w:sz w:val="20"/>
          <w:szCs w:val="20"/>
        </w:rPr>
        <w:t xml:space="preserve"> Ancak, genel teşvik uygulamaları kapsamında yer </w:t>
      </w:r>
      <w:proofErr w:type="gramStart"/>
      <w:r w:rsidRPr="00CF2D7A">
        <w:rPr>
          <w:rStyle w:val="Normal1"/>
          <w:rFonts w:eastAsiaTheme="minorHAnsi"/>
          <w:sz w:val="20"/>
          <w:szCs w:val="20"/>
        </w:rPr>
        <w:t>alan</w:t>
      </w:r>
      <w:proofErr w:type="gramEnd"/>
      <w:r w:rsidRPr="00CF2D7A">
        <w:rPr>
          <w:rStyle w:val="Normal1"/>
          <w:rFonts w:eastAsiaTheme="minorHAnsi"/>
          <w:sz w:val="20"/>
          <w:szCs w:val="20"/>
        </w:rPr>
        <w:t xml:space="preserve"> ve sabit yatırım tutarı onmilyon Türk Lirasını aşmayan, tebliğle belirlenecek yatırımlar için yatırımcının tercihine bağlı olarak yatırımın yapılacağı yerdeki yerel birimlere de müracaat edilebilir.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(2) Müracaat sahibi tarafından; teşvik belgesine ilişkin müracaatın Bakanlığa yapılması halinde dörtyüz Türk Lirası Bakanlık Döner Sermaye İşletmesi hesabına, yerel birimlere yapılması halinde üçyüz Türk Lirası Bakanlık Döner Sermaye İşletmesi hesabına, yüz Türk Lirası ise ilgili yerel birim hesabına yatırılır. </w:t>
      </w:r>
      <w:proofErr w:type="gramStart"/>
      <w:r w:rsidRPr="00CF2D7A">
        <w:rPr>
          <w:rStyle w:val="Normal1"/>
          <w:rFonts w:eastAsiaTheme="minorHAnsi"/>
          <w:sz w:val="20"/>
          <w:szCs w:val="20"/>
        </w:rPr>
        <w:t>Bu meblağlar hiçbir surette iade edilmez.</w:t>
      </w:r>
      <w:proofErr w:type="gramEnd"/>
    </w:p>
    <w:p w:rsid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(3) İlgili yerel birimlerce, teşvik belgesi ile ilgili olarak yapılacak işlemler için tebliğle belirlenen ücretlerin dışında ilave hiçbir ücret talep edilemez.</w:t>
      </w:r>
    </w:p>
    <w:p w:rsidR="00CF2D7A" w:rsidRDefault="00CF2D7A" w:rsidP="00CF2D7A">
      <w:pPr>
        <w:tabs>
          <w:tab w:val="left" w:pos="566"/>
        </w:tabs>
        <w:spacing w:line="240" w:lineRule="exact"/>
        <w:ind w:firstLine="567"/>
        <w:jc w:val="both"/>
        <w:rPr>
          <w:rStyle w:val="Normal1"/>
          <w:rFonts w:eastAsiaTheme="minorHAnsi"/>
          <w:sz w:val="20"/>
          <w:szCs w:val="20"/>
        </w:rPr>
      </w:pPr>
    </w:p>
    <w:p w:rsidR="00CF2D7A" w:rsidRPr="00CF2D7A" w:rsidRDefault="00CF2D7A" w:rsidP="00CF2D7A">
      <w:pPr>
        <w:tabs>
          <w:tab w:val="left" w:pos="566"/>
        </w:tabs>
        <w:spacing w:line="240" w:lineRule="exact"/>
        <w:ind w:firstLine="567"/>
        <w:jc w:val="both"/>
        <w:rPr>
          <w:rStyle w:val="Normal1"/>
          <w:rFonts w:eastAsiaTheme="minorHAnsi"/>
          <w:sz w:val="20"/>
          <w:szCs w:val="20"/>
        </w:rPr>
      </w:pPr>
    </w:p>
    <w:p w:rsidR="00CF2D7A" w:rsidRPr="00CF2D7A" w:rsidRDefault="00CF2D7A" w:rsidP="00CF2D7A">
      <w:pPr>
        <w:tabs>
          <w:tab w:val="left" w:pos="566"/>
        </w:tabs>
        <w:spacing w:line="240" w:lineRule="exact"/>
        <w:ind w:firstLine="567"/>
        <w:jc w:val="both"/>
        <w:rPr>
          <w:rFonts w:ascii="Times New Roman" w:hAnsi="Times New Roman" w:cs="Times New Roman"/>
          <w:b/>
          <w:sz w:val="20"/>
          <w:szCs w:val="20"/>
        </w:rPr>
      </w:pPr>
      <w:r w:rsidRPr="00CF2D7A">
        <w:rPr>
          <w:rFonts w:ascii="Times New Roman" w:hAnsi="Times New Roman" w:cs="Times New Roman"/>
          <w:b/>
          <w:sz w:val="20"/>
          <w:szCs w:val="20"/>
        </w:rPr>
        <w:lastRenderedPageBreak/>
        <w:t>Teşvik belgesi düzenlenmesi</w:t>
      </w:r>
    </w:p>
    <w:p w:rsidR="00CF2D7A" w:rsidRPr="00CF2D7A" w:rsidRDefault="00CF2D7A" w:rsidP="00CF2D7A">
      <w:pPr>
        <w:tabs>
          <w:tab w:val="left" w:pos="566"/>
        </w:tabs>
        <w:spacing w:line="240" w:lineRule="exact"/>
        <w:ind w:firstLine="567"/>
        <w:jc w:val="both"/>
        <w:rPr>
          <w:rStyle w:val="Normal1"/>
          <w:rFonts w:eastAsiaTheme="minorHAnsi"/>
          <w:sz w:val="20"/>
          <w:szCs w:val="20"/>
          <w:lang w:val="tr-TR" w:eastAsia="tr-TR"/>
        </w:rPr>
      </w:pPr>
      <w:r w:rsidRPr="00CF2D7A">
        <w:rPr>
          <w:rFonts w:ascii="Times New Roman" w:hAnsi="Times New Roman" w:cs="Times New Roman"/>
          <w:b/>
          <w:sz w:val="20"/>
          <w:szCs w:val="20"/>
        </w:rPr>
        <w:t>MADDE 7 - (</w:t>
      </w:r>
      <w:r w:rsidRPr="00CF2D7A">
        <w:rPr>
          <w:rFonts w:ascii="Times New Roman" w:hAnsi="Times New Roman" w:cs="Times New Roman"/>
          <w:sz w:val="20"/>
          <w:szCs w:val="20"/>
        </w:rPr>
        <w:t>1) Y</w:t>
      </w:r>
      <w:r w:rsidRPr="00CF2D7A">
        <w:rPr>
          <w:rStyle w:val="Normal1"/>
          <w:rFonts w:eastAsiaTheme="minorHAnsi"/>
          <w:sz w:val="20"/>
          <w:szCs w:val="20"/>
        </w:rPr>
        <w:t>atırımların bu Karar kapsamındaki destek unsurlarından yararlanabilmesi için, makroekonomik programlar ve arz-talep dengesi dikkate alınarak yapılacak sektörel, malî ve teknik değerlendirmeler çerçevesinde projenin uygun görülmesi ve teşvik belgesi düzenlenmesi gerekir.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(2) Teşvik belgesi düzenlenmesine ilişkin müracaat tarihinden önce gerçekleştirilmiş bulunan yatırım harcamaları teşvik belgesi kapsamına alınmaz.</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(3) Finansal kiralama yöntemiyle gerçekleştirilecek yatırımlar için finansal kiralama şirketi </w:t>
      </w:r>
      <w:proofErr w:type="gramStart"/>
      <w:r w:rsidRPr="00CF2D7A">
        <w:rPr>
          <w:rStyle w:val="Normal1"/>
          <w:rFonts w:eastAsiaTheme="minorHAnsi"/>
          <w:sz w:val="20"/>
          <w:szCs w:val="20"/>
        </w:rPr>
        <w:t>adına</w:t>
      </w:r>
      <w:proofErr w:type="gramEnd"/>
      <w:r w:rsidRPr="00CF2D7A">
        <w:rPr>
          <w:rStyle w:val="Normal1"/>
          <w:rFonts w:eastAsiaTheme="minorHAnsi"/>
          <w:sz w:val="20"/>
          <w:szCs w:val="20"/>
        </w:rPr>
        <w:t xml:space="preserve"> ayrı bir teşvik belgesi düzenlenmez.</w:t>
      </w:r>
    </w:p>
    <w:p w:rsidR="00CF2D7A" w:rsidRPr="00CF2D7A" w:rsidRDefault="00CF2D7A" w:rsidP="00CF2D7A">
      <w:pPr>
        <w:tabs>
          <w:tab w:val="left" w:pos="566"/>
        </w:tabs>
        <w:spacing w:line="240" w:lineRule="exact"/>
        <w:ind w:firstLine="558"/>
        <w:jc w:val="both"/>
        <w:rPr>
          <w:rStyle w:val="Normal1"/>
          <w:rFonts w:eastAsiaTheme="minorHAnsi"/>
          <w:b/>
          <w:bCs/>
          <w:sz w:val="20"/>
          <w:szCs w:val="20"/>
        </w:rPr>
      </w:pPr>
      <w:r w:rsidRPr="00CF2D7A">
        <w:rPr>
          <w:rStyle w:val="Normal1"/>
          <w:rFonts w:eastAsiaTheme="minorHAnsi"/>
          <w:b/>
          <w:sz w:val="20"/>
          <w:szCs w:val="20"/>
        </w:rPr>
        <w:t>Stratejik</w:t>
      </w:r>
      <w:r w:rsidRPr="00CF2D7A">
        <w:rPr>
          <w:rStyle w:val="Normal1"/>
          <w:rFonts w:eastAsiaTheme="minorHAnsi"/>
          <w:b/>
          <w:bCs/>
          <w:sz w:val="20"/>
          <w:szCs w:val="20"/>
        </w:rPr>
        <w:t xml:space="preserve"> yatırımlar</w:t>
      </w:r>
    </w:p>
    <w:p w:rsidR="00CF2D7A" w:rsidRPr="00CF2D7A" w:rsidRDefault="00CF2D7A" w:rsidP="00CF2D7A">
      <w:pPr>
        <w:tabs>
          <w:tab w:val="left" w:pos="566"/>
        </w:tabs>
        <w:spacing w:line="240" w:lineRule="exact"/>
        <w:ind w:firstLine="558"/>
        <w:jc w:val="both"/>
        <w:rPr>
          <w:rFonts w:ascii="Times New Roman" w:hAnsi="Times New Roman" w:cs="Times New Roman"/>
          <w:sz w:val="20"/>
          <w:szCs w:val="20"/>
        </w:rPr>
      </w:pPr>
      <w:r w:rsidRPr="00CF2D7A">
        <w:rPr>
          <w:rStyle w:val="Normal1"/>
          <w:rFonts w:eastAsiaTheme="minorHAnsi"/>
          <w:b/>
          <w:bCs/>
          <w:sz w:val="20"/>
          <w:szCs w:val="20"/>
        </w:rPr>
        <w:t>MADDE 8 - (</w:t>
      </w:r>
      <w:r w:rsidRPr="00CF2D7A">
        <w:rPr>
          <w:rFonts w:ascii="Times New Roman" w:hAnsi="Times New Roman" w:cs="Times New Roman"/>
          <w:sz w:val="20"/>
          <w:szCs w:val="20"/>
        </w:rPr>
        <w:t xml:space="preserve">1) Aşağıda yer </w:t>
      </w:r>
      <w:proofErr w:type="gramStart"/>
      <w:r w:rsidRPr="00CF2D7A">
        <w:rPr>
          <w:rFonts w:ascii="Times New Roman" w:hAnsi="Times New Roman" w:cs="Times New Roman"/>
          <w:sz w:val="20"/>
          <w:szCs w:val="20"/>
        </w:rPr>
        <w:t>alan</w:t>
      </w:r>
      <w:proofErr w:type="gramEnd"/>
      <w:r w:rsidRPr="00CF2D7A">
        <w:rPr>
          <w:rFonts w:ascii="Times New Roman" w:hAnsi="Times New Roman" w:cs="Times New Roman"/>
          <w:sz w:val="20"/>
          <w:szCs w:val="20"/>
        </w:rPr>
        <w:t xml:space="preserve"> kriterlerin tamamını birlikte sağlayan, ithalat bağımlılığı yüksek ürünlerin üretimine yönelik yatırımlar stratejik yatırım olarak değerlendirilir.</w:t>
      </w:r>
    </w:p>
    <w:p w:rsidR="00CF2D7A" w:rsidRPr="00CF2D7A" w:rsidRDefault="00CF2D7A" w:rsidP="00CF2D7A">
      <w:pPr>
        <w:tabs>
          <w:tab w:val="left" w:pos="566"/>
        </w:tabs>
        <w:spacing w:line="240" w:lineRule="exact"/>
        <w:ind w:firstLine="558"/>
        <w:jc w:val="both"/>
        <w:rPr>
          <w:rStyle w:val="Normal1"/>
          <w:rFonts w:eastAsiaTheme="minorHAnsi"/>
          <w:iCs/>
          <w:sz w:val="20"/>
          <w:szCs w:val="20"/>
          <w:lang w:val="tr-TR" w:eastAsia="tr-TR"/>
        </w:rPr>
      </w:pPr>
      <w:r w:rsidRPr="00CF2D7A">
        <w:rPr>
          <w:rStyle w:val="Normal1"/>
          <w:rFonts w:eastAsiaTheme="minorHAnsi"/>
          <w:iCs/>
          <w:sz w:val="20"/>
          <w:szCs w:val="20"/>
        </w:rPr>
        <w:t>a) Asgari sabit yatırım tutarının ellimilyon Türk Lirasının üzerinde olması (münhasıran bu yatırımların enerji ihtiyacını karşılamak üzere gerçekleştirilecek doğalgaza dayalı olmayan enerji yatırımlarının, tesis kurulu gücü ile orantılanacak kısmı dâhil).</w:t>
      </w:r>
    </w:p>
    <w:p w:rsidR="00CF2D7A" w:rsidRPr="00CF2D7A" w:rsidRDefault="00CF2D7A" w:rsidP="00CF2D7A">
      <w:pPr>
        <w:tabs>
          <w:tab w:val="left" w:pos="566"/>
        </w:tabs>
        <w:spacing w:line="240" w:lineRule="exact"/>
        <w:ind w:firstLine="558"/>
        <w:jc w:val="both"/>
        <w:rPr>
          <w:rStyle w:val="Normal1"/>
          <w:rFonts w:eastAsiaTheme="minorHAnsi"/>
          <w:iCs/>
          <w:sz w:val="20"/>
          <w:szCs w:val="20"/>
        </w:rPr>
      </w:pPr>
      <w:r w:rsidRPr="00CF2D7A">
        <w:rPr>
          <w:rStyle w:val="Normal1"/>
          <w:rFonts w:eastAsiaTheme="minorHAnsi"/>
          <w:iCs/>
          <w:sz w:val="20"/>
          <w:szCs w:val="20"/>
        </w:rPr>
        <w:t xml:space="preserve">b) Yatırım konusu ürünle ilgili yurtiçi toplam üretim kapasitesinin ithalattan </w:t>
      </w:r>
      <w:proofErr w:type="gramStart"/>
      <w:r w:rsidRPr="00CF2D7A">
        <w:rPr>
          <w:rStyle w:val="Normal1"/>
          <w:rFonts w:eastAsiaTheme="minorHAnsi"/>
          <w:iCs/>
          <w:sz w:val="20"/>
          <w:szCs w:val="20"/>
        </w:rPr>
        <w:t>az</w:t>
      </w:r>
      <w:proofErr w:type="gramEnd"/>
      <w:r w:rsidRPr="00CF2D7A">
        <w:rPr>
          <w:rStyle w:val="Normal1"/>
          <w:rFonts w:eastAsiaTheme="minorHAnsi"/>
          <w:iCs/>
          <w:sz w:val="20"/>
          <w:szCs w:val="20"/>
        </w:rPr>
        <w:t xml:space="preserve"> olması.</w:t>
      </w:r>
    </w:p>
    <w:p w:rsidR="00CF2D7A" w:rsidRPr="00CF2D7A" w:rsidRDefault="00CF2D7A" w:rsidP="00CF2D7A">
      <w:pPr>
        <w:tabs>
          <w:tab w:val="left" w:pos="566"/>
        </w:tabs>
        <w:spacing w:line="240" w:lineRule="exact"/>
        <w:ind w:firstLine="558"/>
        <w:jc w:val="both"/>
        <w:rPr>
          <w:rStyle w:val="Normal1"/>
          <w:rFonts w:eastAsiaTheme="minorHAnsi"/>
          <w:iCs/>
          <w:sz w:val="20"/>
          <w:szCs w:val="20"/>
        </w:rPr>
      </w:pPr>
      <w:r w:rsidRPr="00CF2D7A">
        <w:rPr>
          <w:rStyle w:val="Normal1"/>
          <w:rFonts w:eastAsiaTheme="minorHAnsi"/>
          <w:iCs/>
          <w:sz w:val="20"/>
          <w:szCs w:val="20"/>
        </w:rPr>
        <w:t>c) Bakanlıkça belirlenecek esaslar çerçevesinde, belge konusu yatırımla sağlanacak katma değerin asgari yüzde kırk olması.</w:t>
      </w:r>
    </w:p>
    <w:p w:rsidR="00CF2D7A" w:rsidRPr="00CF2D7A" w:rsidRDefault="00CF2D7A" w:rsidP="00CF2D7A">
      <w:pPr>
        <w:tabs>
          <w:tab w:val="left" w:pos="566"/>
        </w:tabs>
        <w:spacing w:line="240" w:lineRule="exact"/>
        <w:ind w:firstLine="558"/>
        <w:jc w:val="both"/>
        <w:rPr>
          <w:rStyle w:val="Normal1"/>
          <w:rFonts w:eastAsiaTheme="minorHAnsi"/>
          <w:iCs/>
          <w:sz w:val="20"/>
          <w:szCs w:val="20"/>
        </w:rPr>
      </w:pPr>
      <w:r w:rsidRPr="00CF2D7A">
        <w:rPr>
          <w:rStyle w:val="Normal1"/>
          <w:rFonts w:eastAsiaTheme="minorHAnsi"/>
          <w:iCs/>
          <w:sz w:val="20"/>
          <w:szCs w:val="20"/>
        </w:rPr>
        <w:t>ç) Yatırım konusu ürünle ilgili olarak son bir yıl içerisinde gerçekleşen toplam ithalat tutarının ellimilyon ABD Dolarının üzerinde olması.</w:t>
      </w:r>
    </w:p>
    <w:p w:rsidR="00CF2D7A" w:rsidRPr="00CF2D7A" w:rsidRDefault="00CF2D7A" w:rsidP="00CF2D7A">
      <w:pPr>
        <w:tabs>
          <w:tab w:val="left" w:pos="566"/>
        </w:tabs>
        <w:spacing w:line="240" w:lineRule="exact"/>
        <w:ind w:firstLine="558"/>
        <w:jc w:val="both"/>
        <w:rPr>
          <w:rStyle w:val="Normal1"/>
          <w:rFonts w:eastAsiaTheme="minorHAnsi"/>
          <w:iCs/>
          <w:sz w:val="20"/>
          <w:szCs w:val="20"/>
        </w:rPr>
      </w:pPr>
      <w:r w:rsidRPr="00CF2D7A">
        <w:rPr>
          <w:rStyle w:val="Normal1"/>
          <w:rFonts w:eastAsiaTheme="minorHAnsi"/>
          <w:iCs/>
          <w:sz w:val="20"/>
          <w:szCs w:val="20"/>
        </w:rPr>
        <w:t>(2) Yurt içinde üretimi olmayan ürünlerin üretimine yönelik yatırımlarda birinci fıkranın (ç) bendi hükmü</w:t>
      </w:r>
      <w:proofErr w:type="gramStart"/>
      <w:r w:rsidRPr="00CF2D7A">
        <w:rPr>
          <w:rStyle w:val="Normal1"/>
          <w:rFonts w:eastAsiaTheme="minorHAnsi"/>
          <w:iCs/>
          <w:sz w:val="20"/>
          <w:szCs w:val="20"/>
        </w:rPr>
        <w:t>,  rafineri</w:t>
      </w:r>
      <w:proofErr w:type="gramEnd"/>
      <w:r w:rsidRPr="00CF2D7A">
        <w:rPr>
          <w:rStyle w:val="Normal1"/>
          <w:rFonts w:eastAsiaTheme="minorHAnsi"/>
          <w:iCs/>
          <w:sz w:val="20"/>
          <w:szCs w:val="20"/>
        </w:rPr>
        <w:t xml:space="preserve"> ve petrokimya yatırımlarında ise (c) bendi hükmü aranmaz.</w:t>
      </w:r>
    </w:p>
    <w:p w:rsidR="00CF2D7A" w:rsidRPr="00CF2D7A" w:rsidRDefault="00CF2D7A" w:rsidP="00CF2D7A">
      <w:pPr>
        <w:tabs>
          <w:tab w:val="left" w:pos="566"/>
        </w:tabs>
        <w:spacing w:line="240" w:lineRule="exact"/>
        <w:ind w:firstLine="558"/>
        <w:jc w:val="both"/>
        <w:rPr>
          <w:rStyle w:val="Normal1"/>
          <w:rFonts w:eastAsiaTheme="minorHAnsi"/>
          <w:iCs/>
          <w:sz w:val="20"/>
          <w:szCs w:val="20"/>
        </w:rPr>
      </w:pPr>
      <w:r w:rsidRPr="00CF2D7A">
        <w:rPr>
          <w:rStyle w:val="Normal1"/>
          <w:rFonts w:eastAsiaTheme="minorHAnsi"/>
          <w:iCs/>
          <w:sz w:val="20"/>
          <w:szCs w:val="20"/>
        </w:rPr>
        <w:t>(3) Bu konuda Bakanlığa yapılacak müracaatlar Komisyon tarafından incelenerek değerlendirilir ve uygun görülen projeler için teşvik belgesi düzenlenir.</w:t>
      </w:r>
    </w:p>
    <w:p w:rsidR="00CF2D7A" w:rsidRPr="00CF2D7A" w:rsidRDefault="00CF2D7A" w:rsidP="00CF2D7A">
      <w:pPr>
        <w:tabs>
          <w:tab w:val="left" w:pos="566"/>
        </w:tabs>
        <w:spacing w:line="240" w:lineRule="exact"/>
        <w:ind w:firstLine="558"/>
        <w:jc w:val="both"/>
        <w:rPr>
          <w:rStyle w:val="Normal1"/>
          <w:rFonts w:eastAsiaTheme="minorHAnsi"/>
          <w:iCs/>
          <w:sz w:val="20"/>
          <w:szCs w:val="20"/>
        </w:rPr>
      </w:pPr>
      <w:r w:rsidRPr="00CF2D7A">
        <w:rPr>
          <w:rStyle w:val="Normal1"/>
          <w:rFonts w:eastAsiaTheme="minorHAnsi"/>
          <w:iCs/>
          <w:sz w:val="20"/>
          <w:szCs w:val="20"/>
        </w:rPr>
        <w:t>(4) EK-</w:t>
      </w:r>
      <w:proofErr w:type="gramStart"/>
      <w:r w:rsidRPr="00CF2D7A">
        <w:rPr>
          <w:rStyle w:val="Normal1"/>
          <w:rFonts w:eastAsiaTheme="minorHAnsi"/>
          <w:iCs/>
          <w:sz w:val="20"/>
          <w:szCs w:val="20"/>
        </w:rPr>
        <w:t>4’te</w:t>
      </w:r>
      <w:proofErr w:type="gramEnd"/>
      <w:r w:rsidRPr="00CF2D7A">
        <w:rPr>
          <w:rStyle w:val="Normal1"/>
          <w:rFonts w:eastAsiaTheme="minorHAnsi"/>
          <w:iCs/>
          <w:sz w:val="20"/>
          <w:szCs w:val="20"/>
        </w:rPr>
        <w:t xml:space="preserve"> belirtilen teşvik edilmeyecek yatırım konuları ile kamu kurum ve kuruluşları tarafından gerçekleştirilecek yatırımlar</w:t>
      </w:r>
      <w:r w:rsidRPr="00CF2D7A">
        <w:rPr>
          <w:rStyle w:val="Normal1"/>
          <w:rFonts w:eastAsiaTheme="minorHAnsi"/>
          <w:iCs/>
          <w:color w:val="FF0000"/>
          <w:sz w:val="20"/>
          <w:szCs w:val="20"/>
        </w:rPr>
        <w:t xml:space="preserve"> </w:t>
      </w:r>
      <w:r w:rsidRPr="00CF2D7A">
        <w:rPr>
          <w:rStyle w:val="Normal1"/>
          <w:rFonts w:eastAsiaTheme="minorHAnsi"/>
          <w:iCs/>
          <w:sz w:val="20"/>
          <w:szCs w:val="20"/>
        </w:rPr>
        <w:t>bu madde kapsamında değerlendirilmez.</w:t>
      </w:r>
    </w:p>
    <w:p w:rsidR="00CF2D7A" w:rsidRPr="00CF2D7A" w:rsidRDefault="00CF2D7A" w:rsidP="00CF2D7A">
      <w:pPr>
        <w:tabs>
          <w:tab w:val="left" w:pos="566"/>
        </w:tabs>
        <w:spacing w:line="240" w:lineRule="exact"/>
        <w:ind w:firstLine="558"/>
        <w:jc w:val="both"/>
        <w:rPr>
          <w:rStyle w:val="Normal1"/>
          <w:rFonts w:eastAsiaTheme="minorHAnsi"/>
          <w:b/>
          <w:sz w:val="20"/>
          <w:szCs w:val="20"/>
        </w:rPr>
      </w:pPr>
      <w:r w:rsidRPr="00CF2D7A">
        <w:rPr>
          <w:rStyle w:val="Normal1"/>
          <w:rFonts w:eastAsiaTheme="minorHAnsi"/>
          <w:b/>
          <w:sz w:val="20"/>
          <w:szCs w:val="20"/>
        </w:rPr>
        <w:t>Gümrük vergisi muafiyeti</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b/>
          <w:sz w:val="20"/>
          <w:szCs w:val="20"/>
        </w:rPr>
        <w:t>MADDE 9 - (</w:t>
      </w:r>
      <w:r w:rsidRPr="00CF2D7A">
        <w:rPr>
          <w:rStyle w:val="Normal1"/>
          <w:rFonts w:eastAsiaTheme="minorHAnsi"/>
          <w:sz w:val="20"/>
          <w:szCs w:val="20"/>
        </w:rPr>
        <w:t xml:space="preserve">1) Teşvik belgesi kapsamındaki yatırım </w:t>
      </w:r>
      <w:proofErr w:type="gramStart"/>
      <w:r w:rsidRPr="00CF2D7A">
        <w:rPr>
          <w:rStyle w:val="Normal1"/>
          <w:rFonts w:eastAsiaTheme="minorHAnsi"/>
          <w:sz w:val="20"/>
          <w:szCs w:val="20"/>
        </w:rPr>
        <w:t>malı</w:t>
      </w:r>
      <w:proofErr w:type="gramEnd"/>
      <w:r w:rsidRPr="00CF2D7A">
        <w:rPr>
          <w:rStyle w:val="Normal1"/>
          <w:rFonts w:eastAsiaTheme="minorHAnsi"/>
          <w:sz w:val="20"/>
          <w:szCs w:val="20"/>
        </w:rPr>
        <w:t xml:space="preserve"> makine ve teçhizatın ithali, otomobil ve hafif ticarî araç yatırımlarında </w:t>
      </w:r>
      <w:r w:rsidRPr="00CF2D7A">
        <w:rPr>
          <w:rStyle w:val="Normal1"/>
          <w:rFonts w:eastAsiaTheme="minorHAnsi"/>
          <w:bCs/>
          <w:sz w:val="20"/>
          <w:szCs w:val="20"/>
        </w:rPr>
        <w:t>yatırım dönemi içerisinde kalmak kaydıyla</w:t>
      </w:r>
      <w:r w:rsidRPr="00CF2D7A">
        <w:rPr>
          <w:rStyle w:val="Normal1"/>
          <w:rFonts w:eastAsiaTheme="minorHAnsi"/>
          <w:b/>
          <w:sz w:val="20"/>
          <w:szCs w:val="20"/>
        </w:rPr>
        <w:t xml:space="preserve"> </w:t>
      </w:r>
      <w:r w:rsidRPr="00CF2D7A">
        <w:rPr>
          <w:rStyle w:val="Normal1"/>
          <w:rFonts w:eastAsiaTheme="minorHAnsi"/>
          <w:sz w:val="20"/>
          <w:szCs w:val="20"/>
        </w:rPr>
        <w:t>monte edilmemiş haldeki (CKD) aksam ve parçaların ithali, gemi ve elli metrenin üzerindeki yat inşa yatırımlarında tekne kabuğu ithali yürürlükteki İthalat Rejimi Kararı gereğince ödenmesi gereken gümrük vergisinden muaftır.</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 xml:space="preserve">(2) Teşvik belgesi kapsamında otobüs, çekici (Euro normlarına uygun yeşil motoru haiz olanlar hariç), mobilya, motorbot, kamyon (off-road truck tipi karayoluna çıkması mümkün olmayan kaya tipi damperli kamyonlar hariç), transmikser, beton santrali, forklift ve beton pompası ithal edilmesi halinde yürürlükteki İthalat Rejimi Kararında öngörülen oranlarda gümrük vergisi tahsil edilir.  Ayrıca, makine ve teçhizat bedelinin yüzde beşine </w:t>
      </w:r>
      <w:proofErr w:type="gramStart"/>
      <w:r w:rsidRPr="00CF2D7A">
        <w:rPr>
          <w:rStyle w:val="Normal1"/>
          <w:rFonts w:eastAsiaTheme="minorHAnsi"/>
          <w:sz w:val="20"/>
          <w:szCs w:val="20"/>
        </w:rPr>
        <w:t>kadar</w:t>
      </w:r>
      <w:proofErr w:type="gramEnd"/>
      <w:r w:rsidRPr="00CF2D7A">
        <w:rPr>
          <w:rStyle w:val="Normal1"/>
          <w:rFonts w:eastAsiaTheme="minorHAnsi"/>
          <w:sz w:val="20"/>
          <w:szCs w:val="20"/>
        </w:rPr>
        <w:t xml:space="preserve"> yedek parça, gümrük vergisi muafiyeti sağlanmaksızın ithal edilerek sabit yatırım tutarına dahil edilebilir.</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(3) Bakanlık, sektörel kısıtlamaları göz önüne alarak;</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a) İthalat Rejimi Kararı uyarınca ithali mümkün olan kullanılmış veya yenileştirilmiş makine ve teçhizat (karayolu nakil vasıtaları hariç) ile İthalat Rejimi Kararının 7 nci maddesi uyarınca ithaline izin verilen makine ve teçhizatın teşvik belgesi kapsamına alınmasını,</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b) Kullanılmış komple tesisin proje bazında yapılacak değerlendirme sonucunda</w:t>
      </w:r>
      <w:r w:rsidRPr="00CF2D7A">
        <w:rPr>
          <w:rStyle w:val="Normal1"/>
          <w:rFonts w:eastAsiaTheme="minorHAnsi"/>
          <w:color w:val="FF0000"/>
          <w:sz w:val="20"/>
          <w:szCs w:val="20"/>
        </w:rPr>
        <w:t xml:space="preserve"> </w:t>
      </w:r>
      <w:r w:rsidRPr="00CF2D7A">
        <w:rPr>
          <w:rStyle w:val="Normal1"/>
          <w:rFonts w:eastAsiaTheme="minorHAnsi"/>
          <w:sz w:val="20"/>
          <w:szCs w:val="20"/>
        </w:rPr>
        <w:t>ithalini,</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sz w:val="20"/>
          <w:szCs w:val="20"/>
        </w:rPr>
        <w:t>uygun</w:t>
      </w:r>
      <w:proofErr w:type="gramEnd"/>
      <w:r w:rsidRPr="00CF2D7A">
        <w:rPr>
          <w:rStyle w:val="Normal1"/>
          <w:rFonts w:eastAsiaTheme="minorHAnsi"/>
          <w:sz w:val="20"/>
          <w:szCs w:val="20"/>
        </w:rPr>
        <w:t xml:space="preserve"> görebilir.</w:t>
      </w:r>
    </w:p>
    <w:p w:rsidR="00CF2D7A" w:rsidRPr="00CF2D7A" w:rsidRDefault="00CF2D7A" w:rsidP="00CF2D7A">
      <w:pPr>
        <w:spacing w:line="240" w:lineRule="exact"/>
        <w:ind w:firstLine="558"/>
        <w:jc w:val="both"/>
        <w:rPr>
          <w:rFonts w:ascii="Times New Roman" w:hAnsi="Times New Roman" w:cs="Times New Roman"/>
          <w:b/>
          <w:sz w:val="20"/>
          <w:szCs w:val="20"/>
        </w:rPr>
      </w:pPr>
      <w:r w:rsidRPr="00CF2D7A">
        <w:rPr>
          <w:rFonts w:ascii="Times New Roman" w:hAnsi="Times New Roman" w:cs="Times New Roman"/>
          <w:sz w:val="20"/>
          <w:szCs w:val="20"/>
        </w:rPr>
        <w:lastRenderedPageBreak/>
        <w:t xml:space="preserve">(4) Baskı, basım, matbaa, tekstil, hazır giyim ve </w:t>
      </w:r>
      <w:proofErr w:type="gramStart"/>
      <w:r w:rsidRPr="00CF2D7A">
        <w:rPr>
          <w:rFonts w:ascii="Times New Roman" w:hAnsi="Times New Roman" w:cs="Times New Roman"/>
          <w:sz w:val="20"/>
          <w:szCs w:val="20"/>
        </w:rPr>
        <w:t>konfeksiyon</w:t>
      </w:r>
      <w:proofErr w:type="gramEnd"/>
      <w:r w:rsidRPr="00CF2D7A">
        <w:rPr>
          <w:rFonts w:ascii="Times New Roman" w:hAnsi="Times New Roman" w:cs="Times New Roman"/>
          <w:sz w:val="20"/>
          <w:szCs w:val="20"/>
        </w:rPr>
        <w:t xml:space="preserve"> yatırımlarına yönelik teşvik belgeleri kapsamında kullanılmış veya yenileştirilmiş makine ve teçhizat ithal edilemez.</w:t>
      </w:r>
    </w:p>
    <w:p w:rsidR="00CF2D7A" w:rsidRPr="00CF2D7A" w:rsidRDefault="00CF2D7A" w:rsidP="00CF2D7A">
      <w:pPr>
        <w:tabs>
          <w:tab w:val="left" w:pos="566"/>
        </w:tabs>
        <w:spacing w:line="240" w:lineRule="exact"/>
        <w:ind w:firstLine="558"/>
        <w:jc w:val="both"/>
        <w:rPr>
          <w:rStyle w:val="Normal1"/>
          <w:rFonts w:eastAsiaTheme="minorHAnsi"/>
          <w:sz w:val="20"/>
          <w:szCs w:val="20"/>
          <w:lang w:val="tr-TR"/>
        </w:rPr>
      </w:pPr>
      <w:r w:rsidRPr="00CF2D7A">
        <w:rPr>
          <w:rStyle w:val="Normal1"/>
          <w:rFonts w:eastAsiaTheme="minorHAnsi"/>
          <w:sz w:val="20"/>
          <w:szCs w:val="20"/>
        </w:rPr>
        <w:t xml:space="preserve">(5) Finansal kiralama yöntemiyle gerçekleştirilecek yatırımlar için finansal kiralama şirketi </w:t>
      </w:r>
      <w:proofErr w:type="gramStart"/>
      <w:r w:rsidRPr="00CF2D7A">
        <w:rPr>
          <w:rStyle w:val="Normal1"/>
          <w:rFonts w:eastAsiaTheme="minorHAnsi"/>
          <w:sz w:val="20"/>
          <w:szCs w:val="20"/>
        </w:rPr>
        <w:t>adına</w:t>
      </w:r>
      <w:proofErr w:type="gramEnd"/>
      <w:r w:rsidRPr="00CF2D7A">
        <w:rPr>
          <w:rStyle w:val="Normal1"/>
          <w:rFonts w:eastAsiaTheme="minorHAnsi"/>
          <w:sz w:val="20"/>
          <w:szCs w:val="20"/>
        </w:rPr>
        <w:t xml:space="preserve"> ayrı bir teşvik belgesi düzenlenmeksizin yatırımcının teşvik belgesi dikkate alınarak ithalat işlemleri yapılır. </w:t>
      </w:r>
      <w:proofErr w:type="gramStart"/>
      <w:r w:rsidRPr="00CF2D7A">
        <w:rPr>
          <w:rStyle w:val="Normal1"/>
          <w:rFonts w:eastAsiaTheme="minorHAnsi"/>
          <w:sz w:val="20"/>
          <w:szCs w:val="20"/>
        </w:rPr>
        <w:t>İthalat işlemleri ile ilgili olarak yatırımcı ile finansal kiralama şirketleri müteselsilen sorumludur.</w:t>
      </w:r>
      <w:proofErr w:type="gramEnd"/>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 xml:space="preserve">(6) Teşvik belgesi almak üzere müracaat edilmiş, ancak teşvik belgesine bağlanmamış yatırımlara ilişkin makine ve teçhizatın ithaline, Bakanlığın görüşüne istinaden Gümrük ve Ticaret Bakanlığınca, teşvik belgesi kapsamında muafiyet tanınabilecek ve istisna edilebilecek vergi ve kesintilerin toplam tutarı kadar teminatın alınması suretiyle müsaade edilebilir. </w:t>
      </w:r>
      <w:proofErr w:type="gramStart"/>
      <w:r w:rsidRPr="00CF2D7A">
        <w:rPr>
          <w:rStyle w:val="Normal1"/>
          <w:rFonts w:eastAsiaTheme="minorHAnsi"/>
          <w:sz w:val="20"/>
          <w:szCs w:val="20"/>
        </w:rPr>
        <w:t>Teminatla ithalatta, bir defada verilecek teminat süresi azami altı aydır.</w:t>
      </w:r>
      <w:proofErr w:type="gramEnd"/>
      <w:r w:rsidRPr="00CF2D7A">
        <w:rPr>
          <w:rStyle w:val="Normal1"/>
          <w:rFonts w:eastAsiaTheme="minorHAnsi"/>
          <w:sz w:val="20"/>
          <w:szCs w:val="20"/>
        </w:rPr>
        <w:t xml:space="preserve"> </w:t>
      </w:r>
      <w:proofErr w:type="gramStart"/>
      <w:r w:rsidRPr="00CF2D7A">
        <w:rPr>
          <w:rStyle w:val="Normal1"/>
          <w:rFonts w:eastAsiaTheme="minorHAnsi"/>
          <w:sz w:val="20"/>
          <w:szCs w:val="20"/>
        </w:rPr>
        <w:t>Teminat süresi içerisinde teşvik belgesinin düzenlenememiş olması halinde süre uzatımı için Gümrük ve Ticaret Bakanlığına müracaat edilir.</w:t>
      </w:r>
      <w:proofErr w:type="gramEnd"/>
      <w:r w:rsidRPr="00CF2D7A">
        <w:rPr>
          <w:rStyle w:val="Normal1"/>
          <w:rFonts w:eastAsiaTheme="minorHAnsi"/>
          <w:sz w:val="20"/>
          <w:szCs w:val="20"/>
        </w:rPr>
        <w:t xml:space="preserve"> Teminatın başlangıç tarihi, eşyanın </w:t>
      </w:r>
      <w:proofErr w:type="gramStart"/>
      <w:r w:rsidRPr="00CF2D7A">
        <w:rPr>
          <w:rStyle w:val="Normal1"/>
          <w:rFonts w:eastAsiaTheme="minorHAnsi"/>
          <w:sz w:val="20"/>
          <w:szCs w:val="20"/>
        </w:rPr>
        <w:t>serbest</w:t>
      </w:r>
      <w:proofErr w:type="gramEnd"/>
      <w:r w:rsidRPr="00CF2D7A">
        <w:rPr>
          <w:rStyle w:val="Normal1"/>
          <w:rFonts w:eastAsiaTheme="minorHAnsi"/>
          <w:sz w:val="20"/>
          <w:szCs w:val="20"/>
        </w:rPr>
        <w:t xml:space="preserve"> dolaşıma giriş tarihidir. </w:t>
      </w:r>
      <w:proofErr w:type="gramStart"/>
      <w:r w:rsidRPr="00CF2D7A">
        <w:rPr>
          <w:rStyle w:val="Normal1"/>
          <w:rFonts w:eastAsiaTheme="minorHAnsi"/>
          <w:sz w:val="20"/>
          <w:szCs w:val="20"/>
        </w:rPr>
        <w:t>Yatırımcının, teminatın çözümü için teminat süresi içinde (ek süreler dahil) teşvik belgesi ve eki ithal makine ve teçhizat listesi ile birlikte Gümrük ve Ticaret Bakanlığına müracaat etmesi gerekir.</w:t>
      </w:r>
      <w:proofErr w:type="gramEnd"/>
      <w:r w:rsidRPr="00CF2D7A">
        <w:rPr>
          <w:rStyle w:val="Normal1"/>
          <w:rFonts w:eastAsiaTheme="minorHAnsi"/>
          <w:sz w:val="20"/>
          <w:szCs w:val="20"/>
        </w:rPr>
        <w:t xml:space="preserve"> </w:t>
      </w:r>
      <w:proofErr w:type="gramStart"/>
      <w:r w:rsidRPr="00CF2D7A">
        <w:rPr>
          <w:rStyle w:val="Normal1"/>
          <w:rFonts w:eastAsiaTheme="minorHAnsi"/>
          <w:sz w:val="20"/>
          <w:szCs w:val="20"/>
        </w:rPr>
        <w:t>Aksi takdirde teminat irat kaydedilir.</w:t>
      </w:r>
      <w:proofErr w:type="gramEnd"/>
    </w:p>
    <w:p w:rsidR="00CF2D7A" w:rsidRPr="00CF2D7A" w:rsidRDefault="00CF2D7A" w:rsidP="00CF2D7A">
      <w:pPr>
        <w:tabs>
          <w:tab w:val="left" w:pos="566"/>
        </w:tabs>
        <w:spacing w:line="240" w:lineRule="exact"/>
        <w:ind w:firstLine="556"/>
        <w:jc w:val="both"/>
        <w:rPr>
          <w:rStyle w:val="Normal1"/>
          <w:rFonts w:eastAsiaTheme="minorHAnsi"/>
          <w:sz w:val="20"/>
          <w:szCs w:val="20"/>
          <w:lang w:val="tr-TR"/>
        </w:rPr>
      </w:pPr>
      <w:r w:rsidRPr="00CF2D7A">
        <w:rPr>
          <w:rStyle w:val="Normal1"/>
          <w:rFonts w:eastAsiaTheme="minorHAnsi"/>
          <w:bCs/>
          <w:iCs/>
          <w:sz w:val="20"/>
          <w:szCs w:val="20"/>
        </w:rPr>
        <w:t xml:space="preserve">(7) </w:t>
      </w:r>
      <w:r w:rsidRPr="00CF2D7A">
        <w:rPr>
          <w:rFonts w:ascii="Times New Roman" w:hAnsi="Times New Roman" w:cs="Times New Roman"/>
          <w:bCs/>
          <w:iCs/>
          <w:sz w:val="20"/>
          <w:szCs w:val="20"/>
        </w:rPr>
        <w:t>Otomobil üretimine yönelik olarak asgari yüzbin adet/yıl kapasiteli yeni bir yatırım yapılması veya mevcut tesislerin kurulu kapasitelerinin en az yüzbin adet/yıl artırılması halinde, teşvik belgesinde kayıtlı sabit yatırım tutarının yüzde yirmisinin gerçekleştirilmesini müteakip, yatırım süresi içerisinde olmak kaydıyla gümrük vergisine tabi olmaksızın yatırımcılara A, B ve C segmentlerinden otomobil ithaline izin verilebilir. Teşvik belgesi kapsamında ithaline izin verilen toplam otomobil sayısı, belgede kayıtlı ilave kapasitenin yüzde onbeşini aşamaz. Ancak, b</w:t>
      </w:r>
      <w:r w:rsidRPr="00CF2D7A">
        <w:rPr>
          <w:rFonts w:ascii="Times New Roman" w:hAnsi="Times New Roman" w:cs="Times New Roman"/>
          <w:sz w:val="20"/>
          <w:szCs w:val="20"/>
        </w:rPr>
        <w:t xml:space="preserve">elge kapsamında motor üretiminin de yer alması halinde, motor üretim kapasitesinin yüzde onbeşi kadar daha (motor üretim kapasitesinin, otomobil üretim kapasitesinden fazla olması durumunda otomobil kapasitesi dikkate alınır) yukarıda belirtilen segmentlerden ilave otomobil ithaline izin verilebilir. </w:t>
      </w: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KDV istisnası ve iadesi</w:t>
      </w:r>
    </w:p>
    <w:p w:rsidR="00CF2D7A" w:rsidRPr="00CF2D7A" w:rsidRDefault="00CF2D7A" w:rsidP="00CF2D7A">
      <w:pPr>
        <w:tabs>
          <w:tab w:val="left" w:pos="566"/>
        </w:tabs>
        <w:spacing w:line="240" w:lineRule="exact"/>
        <w:ind w:firstLine="567"/>
        <w:jc w:val="both"/>
        <w:rPr>
          <w:rStyle w:val="Normal1"/>
          <w:rFonts w:eastAsiaTheme="minorHAnsi"/>
          <w:bCs/>
          <w:sz w:val="20"/>
          <w:szCs w:val="20"/>
        </w:rPr>
      </w:pPr>
      <w:r w:rsidRPr="00CF2D7A">
        <w:rPr>
          <w:rStyle w:val="Normal1"/>
          <w:rFonts w:eastAsiaTheme="minorHAnsi"/>
          <w:b/>
          <w:sz w:val="20"/>
          <w:szCs w:val="20"/>
        </w:rPr>
        <w:t>MADDE 10 - (</w:t>
      </w:r>
      <w:r w:rsidRPr="00CF2D7A">
        <w:rPr>
          <w:rStyle w:val="Normal1"/>
          <w:rFonts w:eastAsiaTheme="minorHAnsi"/>
          <w:bCs/>
          <w:sz w:val="20"/>
          <w:szCs w:val="20"/>
        </w:rPr>
        <w:t>1) 25/10/1984 tarihli ve 3065 sayılı Katma Değer Vergisi Kanunu gereğince, teşvik belgesini haiz yatırımcılara teşvik belgesi kapsamında yapılacak makine ve teçhizat ithal ve yerli teslimleri KDV’den istisna edilebilir. Aynı hüküm, teşvik belgesinin veya teşvik belgesi kapsamı makine ve teçhizatın devir işlemleri ile makine ve teçhizat listelerinde set, ünite, takım vb. olarak belirtilen malların kısmi teslimlerinde de uygulanır.</w:t>
      </w:r>
    </w:p>
    <w:p w:rsidR="00CF2D7A" w:rsidRPr="00CF2D7A" w:rsidRDefault="00CF2D7A" w:rsidP="00CF2D7A">
      <w:pPr>
        <w:tabs>
          <w:tab w:val="left" w:pos="566"/>
        </w:tabs>
        <w:spacing w:line="240" w:lineRule="exact"/>
        <w:ind w:firstLine="567"/>
        <w:jc w:val="both"/>
        <w:rPr>
          <w:rStyle w:val="Normal1"/>
          <w:rFonts w:eastAsiaTheme="minorHAnsi"/>
          <w:bCs/>
          <w:sz w:val="20"/>
          <w:szCs w:val="20"/>
        </w:rPr>
      </w:pPr>
      <w:r w:rsidRPr="00CF2D7A">
        <w:rPr>
          <w:rStyle w:val="Normal1"/>
          <w:rFonts w:eastAsiaTheme="minorHAnsi"/>
          <w:bCs/>
          <w:sz w:val="20"/>
          <w:szCs w:val="20"/>
        </w:rPr>
        <w:t>(2) Sabit yatırım tutarı beşyüzmilyon Türk Lirasının üzerindeki stratejik yatırımlar kapsamında yapılacak bina-inşaat harcamaları KDV iadesinden yararlandırılabilir.</w:t>
      </w: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Faiz desteği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b/>
          <w:sz w:val="20"/>
          <w:szCs w:val="20"/>
        </w:rPr>
        <w:t>MADDE 11 - (</w:t>
      </w:r>
      <w:r w:rsidRPr="00CF2D7A">
        <w:rPr>
          <w:rStyle w:val="Normal1"/>
          <w:rFonts w:eastAsiaTheme="minorHAnsi"/>
          <w:sz w:val="20"/>
          <w:szCs w:val="20"/>
        </w:rPr>
        <w:t xml:space="preserve">1) Talep edilmesi halinde, bölgesel teşvik uygulamaları ve stratejik yatırımlar ile AR-GE ve çevre yatırımları kapsamında desteklerden yararlanacak yatırımlar için bankalardan kullanılacak en </w:t>
      </w:r>
      <w:proofErr w:type="gramStart"/>
      <w:r w:rsidRPr="00CF2D7A">
        <w:rPr>
          <w:rStyle w:val="Normal1"/>
          <w:rFonts w:eastAsiaTheme="minorHAnsi"/>
          <w:sz w:val="20"/>
          <w:szCs w:val="20"/>
        </w:rPr>
        <w:t>az</w:t>
      </w:r>
      <w:proofErr w:type="gramEnd"/>
      <w:r w:rsidRPr="00CF2D7A">
        <w:rPr>
          <w:rStyle w:val="Normal1"/>
          <w:rFonts w:eastAsiaTheme="minorHAnsi"/>
          <w:sz w:val="20"/>
          <w:szCs w:val="20"/>
        </w:rPr>
        <w:t xml:space="preserve"> bir yıl vadeli yatırım kredilerinin teşvik belgesinde kayıtlı sabit yatırım tutarının yüzde yetmişine kadar olan kısmı için ödenecek faizin veya kâr payının;</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a) 3 üncü bölgede yapılacak bölgesel yatırımlar için Türk Lirası cinsi kredilerde üç puanı, döviz kredileri ve dövize endeksli kredilerde bir puanı,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b) 4 üncü bölgede yapılacak bölgesel yatırımlar için Türk Lirası cinsi kredilerde dört puanı, döviz kredileri ve dövize endeksli kredilerde bir puanı,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c) 5 inci bölgede yapılacak bölgesel yatırımlar için Türk Lirası cinsi kredilerde </w:t>
      </w:r>
      <w:proofErr w:type="gramStart"/>
      <w:r w:rsidRPr="00CF2D7A">
        <w:rPr>
          <w:rStyle w:val="Normal1"/>
          <w:rFonts w:eastAsiaTheme="minorHAnsi"/>
          <w:sz w:val="20"/>
          <w:szCs w:val="20"/>
        </w:rPr>
        <w:t>beş</w:t>
      </w:r>
      <w:proofErr w:type="gramEnd"/>
      <w:r w:rsidRPr="00CF2D7A">
        <w:rPr>
          <w:rStyle w:val="Normal1"/>
          <w:rFonts w:eastAsiaTheme="minorHAnsi"/>
          <w:sz w:val="20"/>
          <w:szCs w:val="20"/>
        </w:rPr>
        <w:t xml:space="preserve"> puanı, döviz kredileri ve dövize endeksli kredilerde iki puanı,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ç) 6 ncı bölgede yapılacak bölgesel yatırımlar için Türk Lirası cinsi kredilerde yedi puanı, döviz kredileri ve dövize endeksli kredilerde iki puanı,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d) Bölge ayrımı yapılmaksızın tüm bölgelerde gerçekleştirilecek stratejik yatırımlar, AR-GE yatırımları ve çevre yatırımları için Türk Lirası cinsi kredilerde </w:t>
      </w:r>
      <w:proofErr w:type="gramStart"/>
      <w:r w:rsidRPr="00CF2D7A">
        <w:rPr>
          <w:rStyle w:val="Normal1"/>
          <w:rFonts w:eastAsiaTheme="minorHAnsi"/>
          <w:sz w:val="20"/>
          <w:szCs w:val="20"/>
        </w:rPr>
        <w:t>beş</w:t>
      </w:r>
      <w:proofErr w:type="gramEnd"/>
      <w:r w:rsidRPr="00CF2D7A">
        <w:rPr>
          <w:rStyle w:val="Normal1"/>
          <w:rFonts w:eastAsiaTheme="minorHAnsi"/>
          <w:sz w:val="20"/>
          <w:szCs w:val="20"/>
        </w:rPr>
        <w:t xml:space="preserve"> puanı, döviz kredileri ve dövize endeksli kredilerde iki puanı,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lastRenderedPageBreak/>
        <w:t xml:space="preserve">Bakanlıkça da uygun görülmesi halinde azami ilk </w:t>
      </w:r>
      <w:proofErr w:type="gramStart"/>
      <w:r w:rsidRPr="00CF2D7A">
        <w:rPr>
          <w:rStyle w:val="Normal1"/>
          <w:rFonts w:eastAsiaTheme="minorHAnsi"/>
          <w:sz w:val="20"/>
          <w:szCs w:val="20"/>
        </w:rPr>
        <w:t>beş</w:t>
      </w:r>
      <w:proofErr w:type="gramEnd"/>
      <w:r w:rsidRPr="00CF2D7A">
        <w:rPr>
          <w:rStyle w:val="Normal1"/>
          <w:rFonts w:eastAsiaTheme="minorHAnsi"/>
          <w:sz w:val="20"/>
          <w:szCs w:val="20"/>
        </w:rPr>
        <w:t xml:space="preserve"> yıl için ödenmek kaydıyla bütçe kaynaklarından karşılanabilir.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(2) Faiz desteği içeren teşvik belgelerine konu yatırımlardan finansal kiralama yöntemiyle gerçekleştirilecek olanlar için de faiz veya kâr payı ödemelerini içeren itfa planı yapılması kaydıyla aynı şartlarla faiz desteği öngörülebilir.</w:t>
      </w:r>
    </w:p>
    <w:p w:rsidR="00CF2D7A" w:rsidRPr="00CF2D7A" w:rsidRDefault="00CF2D7A" w:rsidP="00CF2D7A">
      <w:pPr>
        <w:spacing w:line="240" w:lineRule="exact"/>
        <w:ind w:firstLine="567"/>
        <w:jc w:val="both"/>
        <w:rPr>
          <w:rFonts w:ascii="Times New Roman" w:hAnsi="Times New Roman" w:cs="Times New Roman"/>
          <w:sz w:val="20"/>
          <w:szCs w:val="20"/>
        </w:rPr>
      </w:pPr>
      <w:r w:rsidRPr="00CF2D7A">
        <w:rPr>
          <w:rStyle w:val="Normal1"/>
          <w:rFonts w:eastAsiaTheme="minorHAnsi"/>
          <w:sz w:val="20"/>
          <w:szCs w:val="20"/>
        </w:rPr>
        <w:t>(3) Bölgesel teşvik uygulamaları kapsamında yapılacak yatırımlarda p</w:t>
      </w:r>
      <w:r w:rsidRPr="00CF2D7A">
        <w:rPr>
          <w:rFonts w:ascii="Times New Roman" w:hAnsi="Times New Roman" w:cs="Times New Roman"/>
          <w:sz w:val="20"/>
          <w:szCs w:val="20"/>
        </w:rPr>
        <w:t>roje bazında sağlanacak faiz desteği tutarları 3 üncü, 4 üncü, 5 inci ve 6 ncı bölgelerde sırasıyla beşyüzbin, altıyüzbin, yediyüzbin ve dokuzyüzbin Türk Lirasını geçemez.</w:t>
      </w: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(4) Faiz desteği tutarı, bölge ayrımı olmaksızın AR-GE ve çevre yatırımlarında beşyüzbin Türk Lirasını, stratejik yatırımlarda ise sabit yatırım tutarının yüzde beşini aşmamak kaydıyla ellimilyon Türk Lirasını geçemez.</w:t>
      </w: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 xml:space="preserve">(5) Stratejik yatırımlarla ilgili olarak 31/12/2013 tarihine kadar (bu tarih </w:t>
      </w:r>
      <w:proofErr w:type="gramStart"/>
      <w:r w:rsidRPr="00CF2D7A">
        <w:rPr>
          <w:rFonts w:ascii="Times New Roman" w:hAnsi="Times New Roman" w:cs="Times New Roman"/>
          <w:sz w:val="20"/>
          <w:szCs w:val="20"/>
        </w:rPr>
        <w:t>dahil</w:t>
      </w:r>
      <w:proofErr w:type="gramEnd"/>
      <w:r w:rsidRPr="00CF2D7A">
        <w:rPr>
          <w:rFonts w:ascii="Times New Roman" w:hAnsi="Times New Roman" w:cs="Times New Roman"/>
          <w:sz w:val="20"/>
          <w:szCs w:val="20"/>
        </w:rPr>
        <w:t xml:space="preserve">) yapılacak müracaatlara istinaden düzenlenecek teşvik belgeleri kapsamında faiz desteği öngörülür. Ancak, bu belgeler kapsamında faiz desteği ödemelerine </w:t>
      </w:r>
      <w:proofErr w:type="gramStart"/>
      <w:r w:rsidRPr="00CF2D7A">
        <w:rPr>
          <w:rFonts w:ascii="Times New Roman" w:hAnsi="Times New Roman" w:cs="Times New Roman"/>
          <w:sz w:val="20"/>
          <w:szCs w:val="20"/>
        </w:rPr>
        <w:t>1/1/2013</w:t>
      </w:r>
      <w:proofErr w:type="gramEnd"/>
      <w:r w:rsidRPr="00CF2D7A">
        <w:rPr>
          <w:rFonts w:ascii="Times New Roman" w:hAnsi="Times New Roman" w:cs="Times New Roman"/>
          <w:sz w:val="20"/>
          <w:szCs w:val="20"/>
        </w:rPr>
        <w:t xml:space="preserve"> tarihinden sonra başlanır.</w:t>
      </w:r>
    </w:p>
    <w:p w:rsidR="00CF2D7A" w:rsidRPr="00CF2D7A" w:rsidRDefault="00CF2D7A" w:rsidP="00CF2D7A">
      <w:pPr>
        <w:tabs>
          <w:tab w:val="left" w:pos="566"/>
        </w:tabs>
        <w:spacing w:line="240" w:lineRule="exact"/>
        <w:ind w:firstLine="567"/>
        <w:jc w:val="both"/>
        <w:rPr>
          <w:rStyle w:val="Normal1"/>
          <w:rFonts w:eastAsiaTheme="minorHAnsi"/>
          <w:sz w:val="20"/>
          <w:szCs w:val="20"/>
          <w:lang w:val="tr-TR"/>
        </w:rPr>
      </w:pPr>
      <w:r w:rsidRPr="00CF2D7A">
        <w:rPr>
          <w:rStyle w:val="Normal1"/>
          <w:rFonts w:eastAsiaTheme="minorHAnsi"/>
          <w:sz w:val="20"/>
          <w:szCs w:val="20"/>
        </w:rPr>
        <w:t>(6) Döviz kredisi ile gerçekleştirilecek yatırımlarda faiz desteği uygulaması, vade tarihindeki Türkiye Cumhuriyet Merkez Bankası döviz satış kuru dikkate alınarak yapılır.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(7) Kullanılmış makine ve teçhizat için ve kamu iktisadi teşebbüsleri dahil kamu kurum ve kuruluşları ile kamu kurumu niteliğindeki meslek kuruluşlarının yapacağı yatırımlar için faiz desteği uygulanmaz.</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(8) Aynı teşvik belgesi kapsamındaki yatırım için faiz desteği uygulamasına yönelik olarak birden fazla aracı kurum talepte bulunamaz. </w:t>
      </w:r>
      <w:proofErr w:type="gramStart"/>
      <w:r w:rsidRPr="00CF2D7A">
        <w:rPr>
          <w:rStyle w:val="Normal1"/>
          <w:rFonts w:eastAsiaTheme="minorHAnsi"/>
          <w:sz w:val="20"/>
          <w:szCs w:val="20"/>
        </w:rPr>
        <w:t>Ancak, stratejik yatırımlar için faiz desteği uygulamasına yönelik olarak birden fazla aracı kurum talepte bulunabilir.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(9) Kullanılan kredilerin faiz, kâr payı veya anaparalarının yatırımcı tarafından itfa planlarında belirtilen sürelerde geri ödenmemesi halinde, yapılmayan ilk ödeme ilgili aracı kurum tarafından en kısa sürede Bakanlığa bildirilir ve Bakanlıkça faiz desteği ödemeleri durdurulur. Yatırımcının kredi geri ödeme yükümlülüklerini yerine getirdiğinin daha sonra ilgili aracı kurumca Bakanlığa bildirilmesi halinde, bildirimi takip </w:t>
      </w:r>
      <w:proofErr w:type="gramStart"/>
      <w:r w:rsidRPr="00CF2D7A">
        <w:rPr>
          <w:rStyle w:val="Normal1"/>
          <w:rFonts w:eastAsiaTheme="minorHAnsi"/>
          <w:sz w:val="20"/>
          <w:szCs w:val="20"/>
        </w:rPr>
        <w:t>eden</w:t>
      </w:r>
      <w:proofErr w:type="gramEnd"/>
      <w:r w:rsidRPr="00CF2D7A">
        <w:rPr>
          <w:rStyle w:val="Normal1"/>
          <w:rFonts w:eastAsiaTheme="minorHAnsi"/>
          <w:sz w:val="20"/>
          <w:szCs w:val="20"/>
        </w:rPr>
        <w:t xml:space="preserve"> dönemler için faiz desteği ödemeleri başlangıçta öngörülen ödeme tarihlerinde herhangi bir uzatmaya gidilmeksizin tekrar başlatılır. </w:t>
      </w:r>
      <w:proofErr w:type="gramStart"/>
      <w:r w:rsidRPr="00CF2D7A">
        <w:rPr>
          <w:rStyle w:val="Normal1"/>
          <w:rFonts w:eastAsiaTheme="minorHAnsi"/>
          <w:sz w:val="20"/>
          <w:szCs w:val="20"/>
        </w:rPr>
        <w:t>Kredi geri ödemesine ait yükümlülüklerin yeniden aksaması halinde faiz desteği ödemesine son verilir.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(10) Teşvik belgesi kapsamındaki yatırımın başka bir yatırımcıya devredilmesi durumunda, devralan yatırımcının teşvik belgesinde faiz desteğinin öngörülmüş olması ve aracı kurumca da uygun görülmesi halinde, yeni yatırımcı için eski itfa planındaki vade, miktar ve benzeri şartlar değiştirilmeksizin bakiye kredi için düzenlenecek yeni itfa planına göre faiz desteği ödenmesine devam edilir. </w:t>
      </w:r>
      <w:proofErr w:type="gramStart"/>
      <w:r w:rsidRPr="00CF2D7A">
        <w:rPr>
          <w:rStyle w:val="Normal1"/>
          <w:rFonts w:eastAsiaTheme="minorHAnsi"/>
          <w:sz w:val="20"/>
          <w:szCs w:val="20"/>
        </w:rPr>
        <w:t>Aksi takdirde faiz desteği uygulaması durdurulur.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(11) Aracı kurum, faiz desteğine esas olan kredinin teşvik belgesi kapsamındaki harcamalar için kullandırılmasıyla yükümlüdür. Kredinin amacı dışında kullanıldığının tespiti halinde, Bakanlıkça ödenen faiz desteği tutarına ilgili bankanın bu kapsamdaki krediye uyguladığı faiz veya kâr payı oranı uygulanmak suretiyle Bankaca tespit edilecek meblağın, finansal kiralama şirketlerince ise ödenen faiz desteği miktarına itfa planının düzenlenmesinde uygulanan faiz veya kâr payı üzerinden tespit edilen tutarın beş iş günü içerisinde bütçeye gelir yazılmak üzere muhasebe birimi hesabına yatırılması gerekir. Aksi takdirde söz konusu meblağlar Bakanlıkça;</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a) Bankalar için Türkiye Cumhuriyet Merkez Bankası nezdindeki karşılık hesabından virman yapılarak veya diğer hukuki yöntemler kullanılarak,</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b) Finansal kiralama şirketleri için ise 21/7/1953 tarihli ve 6183 sayılı Amme Alacaklarının Tahsil Usulü Hakkında Kanun hükümleri uygulanarak,</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sz w:val="20"/>
          <w:szCs w:val="20"/>
        </w:rPr>
        <w:t>geri</w:t>
      </w:r>
      <w:proofErr w:type="gramEnd"/>
      <w:r w:rsidRPr="00CF2D7A">
        <w:rPr>
          <w:rStyle w:val="Normal1"/>
          <w:rFonts w:eastAsiaTheme="minorHAnsi"/>
          <w:sz w:val="20"/>
          <w:szCs w:val="20"/>
        </w:rPr>
        <w:t xml:space="preserve"> alınır.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(12) Aracı kurumların</w:t>
      </w:r>
      <w:r w:rsidRPr="00CF2D7A">
        <w:rPr>
          <w:rFonts w:ascii="Times New Roman" w:hAnsi="Times New Roman" w:cs="Times New Roman"/>
          <w:sz w:val="20"/>
          <w:szCs w:val="20"/>
        </w:rPr>
        <w:t xml:space="preserve"> uyguladıkları faiz veya kâr payı oranları, bölgelere göre belirlenen faiz desteği puanının altına düştüğünde, aracı kurumun uyguladığı </w:t>
      </w:r>
      <w:proofErr w:type="gramStart"/>
      <w:r w:rsidRPr="00CF2D7A">
        <w:rPr>
          <w:rFonts w:ascii="Times New Roman" w:hAnsi="Times New Roman" w:cs="Times New Roman"/>
          <w:sz w:val="20"/>
          <w:szCs w:val="20"/>
        </w:rPr>
        <w:t>oran</w:t>
      </w:r>
      <w:proofErr w:type="gramEnd"/>
      <w:r w:rsidRPr="00CF2D7A">
        <w:rPr>
          <w:rFonts w:ascii="Times New Roman" w:hAnsi="Times New Roman" w:cs="Times New Roman"/>
          <w:sz w:val="20"/>
          <w:szCs w:val="20"/>
        </w:rPr>
        <w:t xml:space="preserve"> dikkate alınır.</w:t>
      </w:r>
    </w:p>
    <w:p w:rsidR="00CF2D7A" w:rsidRPr="00CF2D7A" w:rsidRDefault="00CF2D7A" w:rsidP="00CF2D7A">
      <w:pPr>
        <w:tabs>
          <w:tab w:val="left" w:pos="566"/>
        </w:tabs>
        <w:spacing w:line="240" w:lineRule="exact"/>
        <w:ind w:firstLine="558"/>
        <w:jc w:val="both"/>
        <w:rPr>
          <w:rStyle w:val="Normal1"/>
          <w:rFonts w:eastAsiaTheme="minorHAnsi"/>
          <w:b/>
          <w:sz w:val="20"/>
          <w:szCs w:val="20"/>
        </w:rPr>
      </w:pPr>
      <w:r w:rsidRPr="00CF2D7A">
        <w:rPr>
          <w:rStyle w:val="Normal1"/>
          <w:rFonts w:eastAsiaTheme="minorHAnsi"/>
          <w:b/>
          <w:sz w:val="20"/>
          <w:szCs w:val="20"/>
        </w:rPr>
        <w:lastRenderedPageBreak/>
        <w:t>Sigorta primi işveren hissesi desteği</w:t>
      </w:r>
    </w:p>
    <w:p w:rsidR="00CF2D7A" w:rsidRPr="00CF2D7A" w:rsidRDefault="00CF2D7A" w:rsidP="00CF2D7A">
      <w:pPr>
        <w:spacing w:line="240" w:lineRule="exact"/>
        <w:ind w:firstLine="540"/>
        <w:jc w:val="both"/>
        <w:rPr>
          <w:rStyle w:val="Normal1"/>
          <w:rFonts w:eastAsiaTheme="minorHAnsi"/>
          <w:sz w:val="20"/>
          <w:szCs w:val="20"/>
        </w:rPr>
      </w:pPr>
      <w:r w:rsidRPr="00CF2D7A">
        <w:rPr>
          <w:rStyle w:val="Normal1"/>
          <w:rFonts w:eastAsiaTheme="minorHAnsi"/>
          <w:b/>
          <w:sz w:val="20"/>
          <w:szCs w:val="20"/>
        </w:rPr>
        <w:t>MADDE 12 - (</w:t>
      </w:r>
      <w:r w:rsidRPr="00CF2D7A">
        <w:rPr>
          <w:rStyle w:val="Normal1"/>
          <w:rFonts w:eastAsiaTheme="minorHAnsi"/>
          <w:sz w:val="20"/>
          <w:szCs w:val="20"/>
        </w:rPr>
        <w:t>1) Büyük ölçekli yatırımlar, stratejik yatırımlar ve bölgesel teşvik uygulamaları kapsamında desteklenen yatırımlardan, tamamlama vizesi yapılmış teşvik belgesinde kayıtlı istihdamı aşmamak kaydıyla;</w:t>
      </w:r>
    </w:p>
    <w:p w:rsidR="00CF2D7A" w:rsidRPr="00CF2D7A" w:rsidRDefault="00CF2D7A" w:rsidP="00CF2D7A">
      <w:pPr>
        <w:spacing w:line="240" w:lineRule="exact"/>
        <w:ind w:firstLine="540"/>
        <w:jc w:val="both"/>
        <w:rPr>
          <w:rStyle w:val="Normal1"/>
          <w:rFonts w:eastAsiaTheme="minorHAnsi"/>
          <w:sz w:val="20"/>
          <w:szCs w:val="20"/>
        </w:rPr>
      </w:pPr>
      <w:r w:rsidRPr="00CF2D7A">
        <w:rPr>
          <w:rStyle w:val="Normal1"/>
          <w:rFonts w:eastAsiaTheme="minorHAnsi"/>
          <w:sz w:val="20"/>
          <w:szCs w:val="20"/>
        </w:rPr>
        <w:t>a) Komple yeni yatırımlarda, teşvik belgesi kapsamında gerçekleşen yatırımla sağlanan,</w:t>
      </w:r>
    </w:p>
    <w:p w:rsidR="00CF2D7A" w:rsidRPr="00CF2D7A" w:rsidRDefault="00CF2D7A" w:rsidP="00CF2D7A">
      <w:pPr>
        <w:spacing w:line="240" w:lineRule="exact"/>
        <w:ind w:firstLine="540"/>
        <w:jc w:val="both"/>
        <w:rPr>
          <w:rStyle w:val="Normal1"/>
          <w:rFonts w:eastAsiaTheme="minorHAnsi"/>
          <w:sz w:val="20"/>
          <w:szCs w:val="20"/>
        </w:rPr>
      </w:pPr>
      <w:r w:rsidRPr="00CF2D7A">
        <w:rPr>
          <w:rFonts w:ascii="Times New Roman" w:hAnsi="Times New Roman" w:cs="Times New Roman"/>
          <w:sz w:val="20"/>
          <w:szCs w:val="20"/>
        </w:rPr>
        <w:t xml:space="preserve">b) </w:t>
      </w:r>
      <w:r w:rsidRPr="00CF2D7A">
        <w:rPr>
          <w:rStyle w:val="Normal1"/>
          <w:rFonts w:eastAsiaTheme="minorHAnsi"/>
          <w:sz w:val="20"/>
          <w:szCs w:val="20"/>
        </w:rPr>
        <w:t xml:space="preserve">Diğer yatırım cinslerinde, yatırımın tamamlanmasını müteakip, yatırıma başlama tarihinden önceki son altı aylık dönemde (mevsimsel özellik taşıyan yatırımlarda bir önceki yıla ait mevsimsel istihdam ortalamaları dikkate alınır) Sosyal Güvenlik Kurumuna verilen aylık prim ve hizmet belgesinde bildirilen ortalama işçi sayısına teşvik belgesi kapsamında gerçekleşen yatırımla ilave edilen, </w:t>
      </w:r>
    </w:p>
    <w:p w:rsidR="00CF2D7A" w:rsidRPr="00CF2D7A" w:rsidRDefault="00CF2D7A" w:rsidP="00CF2D7A">
      <w:pPr>
        <w:spacing w:line="240" w:lineRule="exact"/>
        <w:ind w:firstLine="540"/>
        <w:jc w:val="both"/>
        <w:rPr>
          <w:rStyle w:val="Normal1"/>
          <w:rFonts w:eastAsiaTheme="minorHAnsi"/>
          <w:sz w:val="20"/>
          <w:szCs w:val="20"/>
        </w:rPr>
      </w:pPr>
      <w:proofErr w:type="gramStart"/>
      <w:r w:rsidRPr="00CF2D7A">
        <w:rPr>
          <w:rStyle w:val="Normal1"/>
          <w:rFonts w:eastAsiaTheme="minorHAnsi"/>
          <w:sz w:val="20"/>
          <w:szCs w:val="20"/>
        </w:rPr>
        <w:t>istihdam</w:t>
      </w:r>
      <w:proofErr w:type="gramEnd"/>
      <w:r w:rsidRPr="00CF2D7A">
        <w:rPr>
          <w:rStyle w:val="Normal1"/>
          <w:rFonts w:eastAsiaTheme="minorHAnsi"/>
          <w:sz w:val="20"/>
          <w:szCs w:val="20"/>
        </w:rPr>
        <w:t xml:space="preserve"> için ödenmesi gereken sigorta primi işveren hissesinin asgari ücrete tekabül eden kısmı Bakanlık bütçesinden karşılanır.</w:t>
      </w:r>
    </w:p>
    <w:p w:rsidR="00CF2D7A" w:rsidRPr="00CF2D7A" w:rsidRDefault="00CF2D7A" w:rsidP="00CF2D7A">
      <w:pPr>
        <w:spacing w:line="240" w:lineRule="exact"/>
        <w:ind w:firstLine="540"/>
        <w:jc w:val="both"/>
        <w:rPr>
          <w:rStyle w:val="Normal1"/>
          <w:rFonts w:eastAsiaTheme="minorHAnsi"/>
          <w:sz w:val="20"/>
          <w:szCs w:val="20"/>
        </w:rPr>
      </w:pPr>
      <w:r w:rsidRPr="00CF2D7A">
        <w:rPr>
          <w:rStyle w:val="Normal1"/>
          <w:rFonts w:eastAsiaTheme="minorHAnsi"/>
          <w:sz w:val="20"/>
          <w:szCs w:val="20"/>
        </w:rPr>
        <w:t>(2) Büyük ölçekli yatırımlar ile bölgesel teşvik uygulamaları kapsamında desteklenen yatırımlarda söz konusu destek aşağıda belirtilen sürelerde uygulanır.</w:t>
      </w:r>
    </w:p>
    <w:p w:rsidR="00CF2D7A" w:rsidRPr="00CF2D7A" w:rsidRDefault="00CF2D7A" w:rsidP="00CF2D7A">
      <w:pPr>
        <w:spacing w:line="240" w:lineRule="exact"/>
        <w:ind w:firstLine="540"/>
        <w:jc w:val="both"/>
        <w:rPr>
          <w:rFonts w:ascii="Times New Roman" w:hAnsi="Times New Roman" w:cs="Times New Roman"/>
          <w:sz w:val="20"/>
          <w:szCs w:val="20"/>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8"/>
        <w:gridCol w:w="3071"/>
        <w:gridCol w:w="2696"/>
      </w:tblGrid>
      <w:tr w:rsidR="00CF2D7A" w:rsidRPr="00CF2D7A">
        <w:tc>
          <w:tcPr>
            <w:tcW w:w="2880"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Bölgeler</w:t>
            </w:r>
          </w:p>
        </w:tc>
        <w:tc>
          <w:tcPr>
            <w:tcW w:w="3222"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bCs/>
                <w:sz w:val="20"/>
                <w:szCs w:val="20"/>
              </w:rPr>
            </w:pPr>
            <w:r w:rsidRPr="00CF2D7A">
              <w:rPr>
                <w:rFonts w:ascii="Times New Roman" w:hAnsi="Times New Roman" w:cs="Times New Roman"/>
                <w:bCs/>
                <w:sz w:val="20"/>
                <w:szCs w:val="20"/>
              </w:rPr>
              <w:t xml:space="preserve">31/12/2013 tarihine kadar (bu tarih </w:t>
            </w:r>
            <w:proofErr w:type="gramStart"/>
            <w:r w:rsidRPr="00CF2D7A">
              <w:rPr>
                <w:rFonts w:ascii="Times New Roman" w:hAnsi="Times New Roman" w:cs="Times New Roman"/>
                <w:bCs/>
                <w:sz w:val="20"/>
                <w:szCs w:val="20"/>
              </w:rPr>
              <w:t>dahil</w:t>
            </w:r>
            <w:proofErr w:type="gramEnd"/>
            <w:r w:rsidRPr="00CF2D7A">
              <w:rPr>
                <w:rFonts w:ascii="Times New Roman" w:hAnsi="Times New Roman" w:cs="Times New Roman"/>
                <w:bCs/>
                <w:sz w:val="20"/>
                <w:szCs w:val="20"/>
              </w:rPr>
              <w:t>) başlanılan yatırımlar</w:t>
            </w:r>
          </w:p>
        </w:tc>
        <w:tc>
          <w:tcPr>
            <w:tcW w:w="2826"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bCs/>
                <w:sz w:val="20"/>
                <w:szCs w:val="20"/>
              </w:rPr>
            </w:pPr>
            <w:proofErr w:type="gramStart"/>
            <w:r w:rsidRPr="00CF2D7A">
              <w:rPr>
                <w:rFonts w:ascii="Times New Roman" w:hAnsi="Times New Roman" w:cs="Times New Roman"/>
                <w:bCs/>
                <w:sz w:val="20"/>
                <w:szCs w:val="20"/>
              </w:rPr>
              <w:t>1/1/2014</w:t>
            </w:r>
            <w:proofErr w:type="gramEnd"/>
            <w:r w:rsidRPr="00CF2D7A">
              <w:rPr>
                <w:rFonts w:ascii="Times New Roman" w:hAnsi="Times New Roman" w:cs="Times New Roman"/>
                <w:bCs/>
                <w:sz w:val="20"/>
                <w:szCs w:val="20"/>
              </w:rPr>
              <w:t xml:space="preserve"> tarihinden itibaren</w:t>
            </w:r>
          </w:p>
          <w:p w:rsidR="00CF2D7A" w:rsidRPr="00CF2D7A" w:rsidRDefault="00CF2D7A">
            <w:pPr>
              <w:adjustRightInd w:val="0"/>
              <w:spacing w:line="240" w:lineRule="exact"/>
              <w:jc w:val="center"/>
              <w:rPr>
                <w:rFonts w:ascii="Times New Roman" w:hAnsi="Times New Roman" w:cs="Times New Roman"/>
                <w:sz w:val="20"/>
                <w:szCs w:val="20"/>
              </w:rPr>
            </w:pPr>
            <w:proofErr w:type="gramStart"/>
            <w:r w:rsidRPr="00CF2D7A">
              <w:rPr>
                <w:rFonts w:ascii="Times New Roman" w:hAnsi="Times New Roman" w:cs="Times New Roman"/>
                <w:bCs/>
                <w:sz w:val="20"/>
                <w:szCs w:val="20"/>
              </w:rPr>
              <w:t>başlanılan</w:t>
            </w:r>
            <w:proofErr w:type="gramEnd"/>
            <w:r w:rsidRPr="00CF2D7A">
              <w:rPr>
                <w:rFonts w:ascii="Times New Roman" w:hAnsi="Times New Roman" w:cs="Times New Roman"/>
                <w:bCs/>
                <w:sz w:val="20"/>
                <w:szCs w:val="20"/>
              </w:rPr>
              <w:t xml:space="preserve"> yatırımlar</w:t>
            </w:r>
          </w:p>
        </w:tc>
      </w:tr>
      <w:tr w:rsidR="00CF2D7A" w:rsidRPr="00CF2D7A">
        <w:tc>
          <w:tcPr>
            <w:tcW w:w="2880"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1</w:t>
            </w:r>
          </w:p>
        </w:tc>
        <w:tc>
          <w:tcPr>
            <w:tcW w:w="3222"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2 yıl</w:t>
            </w:r>
          </w:p>
        </w:tc>
        <w:tc>
          <w:tcPr>
            <w:tcW w:w="2826"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w:t>
            </w:r>
          </w:p>
        </w:tc>
      </w:tr>
      <w:tr w:rsidR="00CF2D7A" w:rsidRPr="00CF2D7A">
        <w:tc>
          <w:tcPr>
            <w:tcW w:w="2880"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2</w:t>
            </w:r>
          </w:p>
        </w:tc>
        <w:tc>
          <w:tcPr>
            <w:tcW w:w="3222"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3 yıl</w:t>
            </w:r>
          </w:p>
        </w:tc>
        <w:tc>
          <w:tcPr>
            <w:tcW w:w="2826"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w:t>
            </w:r>
          </w:p>
        </w:tc>
      </w:tr>
      <w:tr w:rsidR="00CF2D7A" w:rsidRPr="00CF2D7A">
        <w:tc>
          <w:tcPr>
            <w:tcW w:w="2880"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3</w:t>
            </w:r>
          </w:p>
        </w:tc>
        <w:tc>
          <w:tcPr>
            <w:tcW w:w="3222"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5 yıl</w:t>
            </w:r>
          </w:p>
        </w:tc>
        <w:tc>
          <w:tcPr>
            <w:tcW w:w="2826"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3 yıl</w:t>
            </w:r>
          </w:p>
        </w:tc>
      </w:tr>
      <w:tr w:rsidR="00CF2D7A" w:rsidRPr="00CF2D7A">
        <w:tc>
          <w:tcPr>
            <w:tcW w:w="2880"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4</w:t>
            </w:r>
          </w:p>
        </w:tc>
        <w:tc>
          <w:tcPr>
            <w:tcW w:w="3222"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6 yıl</w:t>
            </w:r>
          </w:p>
        </w:tc>
        <w:tc>
          <w:tcPr>
            <w:tcW w:w="2826"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5 yıl</w:t>
            </w:r>
          </w:p>
        </w:tc>
      </w:tr>
      <w:tr w:rsidR="00CF2D7A" w:rsidRPr="00CF2D7A">
        <w:tc>
          <w:tcPr>
            <w:tcW w:w="2880"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5</w:t>
            </w:r>
          </w:p>
        </w:tc>
        <w:tc>
          <w:tcPr>
            <w:tcW w:w="3222"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7 yıl</w:t>
            </w:r>
          </w:p>
        </w:tc>
        <w:tc>
          <w:tcPr>
            <w:tcW w:w="2826"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6 yıl</w:t>
            </w:r>
          </w:p>
        </w:tc>
      </w:tr>
      <w:tr w:rsidR="00CF2D7A" w:rsidRPr="00CF2D7A">
        <w:tc>
          <w:tcPr>
            <w:tcW w:w="2880"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6</w:t>
            </w:r>
          </w:p>
        </w:tc>
        <w:tc>
          <w:tcPr>
            <w:tcW w:w="3222"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10 yıl</w:t>
            </w:r>
          </w:p>
        </w:tc>
        <w:tc>
          <w:tcPr>
            <w:tcW w:w="2826"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7 yıl</w:t>
            </w:r>
          </w:p>
        </w:tc>
      </w:tr>
    </w:tbl>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(3) Stratejik yatırımlar için bu destek 6 ncı bölgede on yıl, diğer bölgelerde yedi yıl süreyle uygulanır.</w:t>
      </w: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(4) Yararlanılan sigorta primi işveren hissesi desteğinin tutarı, bölgesel teşvik uygulamaları kapsamında desteklenen yatırımlar ile büyük ölçekli yatırımlarda sabit yatırım tutarının aşağıda belirtilen oranlarını geçemez.</w:t>
      </w:r>
    </w:p>
    <w:p w:rsidR="00CF2D7A" w:rsidRPr="00CF2D7A" w:rsidRDefault="00CF2D7A" w:rsidP="00CF2D7A">
      <w:pPr>
        <w:spacing w:line="240" w:lineRule="exact"/>
        <w:jc w:val="both"/>
        <w:rPr>
          <w:rFonts w:ascii="Times New Roman" w:hAnsi="Times New Roman" w:cs="Times New Roman"/>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7"/>
        <w:gridCol w:w="3593"/>
        <w:gridCol w:w="3745"/>
      </w:tblGrid>
      <w:tr w:rsidR="00CF2D7A" w:rsidRPr="00CF2D7A">
        <w:trPr>
          <w:jc w:val="center"/>
        </w:trPr>
        <w:tc>
          <w:tcPr>
            <w:tcW w:w="1188" w:type="dxa"/>
            <w:tcBorders>
              <w:top w:val="single" w:sz="4" w:space="0" w:color="auto"/>
              <w:left w:val="single" w:sz="4" w:space="0" w:color="auto"/>
              <w:bottom w:val="single" w:sz="4" w:space="0" w:color="auto"/>
              <w:right w:val="single" w:sz="4" w:space="0" w:color="auto"/>
            </w:tcBorders>
          </w:tcPr>
          <w:p w:rsidR="00CF2D7A" w:rsidRPr="00CF2D7A" w:rsidRDefault="00CF2D7A">
            <w:pPr>
              <w:adjustRightInd w:val="0"/>
              <w:spacing w:line="240" w:lineRule="exact"/>
              <w:jc w:val="center"/>
              <w:rPr>
                <w:rFonts w:ascii="Times New Roman" w:hAnsi="Times New Roman" w:cs="Times New Roman"/>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40" w:lineRule="exact"/>
              <w:ind w:right="-45"/>
              <w:jc w:val="center"/>
              <w:rPr>
                <w:rFonts w:ascii="Times New Roman" w:hAnsi="Times New Roman" w:cs="Times New Roman"/>
                <w:sz w:val="20"/>
                <w:szCs w:val="20"/>
              </w:rPr>
            </w:pPr>
            <w:r w:rsidRPr="00CF2D7A">
              <w:rPr>
                <w:rFonts w:ascii="Times New Roman" w:hAnsi="Times New Roman" w:cs="Times New Roman"/>
                <w:sz w:val="20"/>
                <w:szCs w:val="20"/>
              </w:rPr>
              <w:t>Bölgesel Teşvik Uygulamaları</w:t>
            </w:r>
          </w:p>
        </w:tc>
        <w:tc>
          <w:tcPr>
            <w:tcW w:w="3960"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40" w:lineRule="exact"/>
              <w:ind w:right="-45"/>
              <w:jc w:val="center"/>
              <w:rPr>
                <w:rFonts w:ascii="Times New Roman" w:hAnsi="Times New Roman" w:cs="Times New Roman"/>
                <w:sz w:val="20"/>
                <w:szCs w:val="20"/>
              </w:rPr>
            </w:pPr>
            <w:r w:rsidRPr="00CF2D7A">
              <w:rPr>
                <w:rFonts w:ascii="Times New Roman" w:hAnsi="Times New Roman" w:cs="Times New Roman"/>
                <w:sz w:val="20"/>
                <w:szCs w:val="20"/>
              </w:rPr>
              <w:t xml:space="preserve">Büyük Ölçekli Yatırımlar </w:t>
            </w:r>
          </w:p>
        </w:tc>
      </w:tr>
      <w:tr w:rsidR="00CF2D7A" w:rsidRPr="00CF2D7A">
        <w:trPr>
          <w:jc w:val="center"/>
        </w:trPr>
        <w:tc>
          <w:tcPr>
            <w:tcW w:w="1188"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Bölgeler</w:t>
            </w:r>
          </w:p>
        </w:tc>
        <w:tc>
          <w:tcPr>
            <w:tcW w:w="3780"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40" w:lineRule="exact"/>
              <w:ind w:right="-45"/>
              <w:jc w:val="center"/>
              <w:rPr>
                <w:rFonts w:ascii="Times New Roman" w:hAnsi="Times New Roman" w:cs="Times New Roman"/>
                <w:sz w:val="20"/>
                <w:szCs w:val="20"/>
              </w:rPr>
            </w:pPr>
            <w:r w:rsidRPr="00CF2D7A">
              <w:rPr>
                <w:rFonts w:ascii="Times New Roman" w:hAnsi="Times New Roman" w:cs="Times New Roman"/>
                <w:sz w:val="20"/>
                <w:szCs w:val="20"/>
              </w:rPr>
              <w:t>Sigorta Primi İşveren Hissesi Desteğinin Sabit Yatırım Tutarına Oranı  (%)</w:t>
            </w:r>
          </w:p>
        </w:tc>
        <w:tc>
          <w:tcPr>
            <w:tcW w:w="3960"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Sigorta Primi İşveren Hissesi Desteğinin Sabit Yatırım Tutarına Oranı (%)</w:t>
            </w:r>
          </w:p>
        </w:tc>
      </w:tr>
      <w:tr w:rsidR="00CF2D7A" w:rsidRPr="00CF2D7A">
        <w:trPr>
          <w:jc w:val="center"/>
        </w:trPr>
        <w:tc>
          <w:tcPr>
            <w:tcW w:w="1188"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1</w:t>
            </w:r>
          </w:p>
        </w:tc>
        <w:tc>
          <w:tcPr>
            <w:tcW w:w="37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10</w:t>
            </w:r>
          </w:p>
        </w:tc>
        <w:tc>
          <w:tcPr>
            <w:tcW w:w="3960"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3</w:t>
            </w:r>
          </w:p>
        </w:tc>
      </w:tr>
      <w:tr w:rsidR="00CF2D7A" w:rsidRPr="00CF2D7A">
        <w:trPr>
          <w:jc w:val="center"/>
        </w:trPr>
        <w:tc>
          <w:tcPr>
            <w:tcW w:w="1188"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2</w:t>
            </w:r>
          </w:p>
        </w:tc>
        <w:tc>
          <w:tcPr>
            <w:tcW w:w="37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15</w:t>
            </w:r>
          </w:p>
        </w:tc>
        <w:tc>
          <w:tcPr>
            <w:tcW w:w="396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5</w:t>
            </w:r>
          </w:p>
        </w:tc>
      </w:tr>
      <w:tr w:rsidR="00CF2D7A" w:rsidRPr="00CF2D7A">
        <w:trPr>
          <w:jc w:val="center"/>
        </w:trPr>
        <w:tc>
          <w:tcPr>
            <w:tcW w:w="1188"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3</w:t>
            </w:r>
          </w:p>
        </w:tc>
        <w:tc>
          <w:tcPr>
            <w:tcW w:w="37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sz w:val="20"/>
                <w:szCs w:val="20"/>
              </w:rPr>
            </w:pPr>
            <w:r w:rsidRPr="00CF2D7A">
              <w:rPr>
                <w:rFonts w:ascii="Times New Roman" w:hAnsi="Times New Roman" w:cs="Times New Roman"/>
                <w:bCs/>
                <w:sz w:val="20"/>
                <w:szCs w:val="20"/>
              </w:rPr>
              <w:t>20</w:t>
            </w:r>
          </w:p>
        </w:tc>
        <w:tc>
          <w:tcPr>
            <w:tcW w:w="396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8</w:t>
            </w:r>
          </w:p>
        </w:tc>
      </w:tr>
      <w:tr w:rsidR="00CF2D7A" w:rsidRPr="00CF2D7A">
        <w:trPr>
          <w:jc w:val="center"/>
        </w:trPr>
        <w:tc>
          <w:tcPr>
            <w:tcW w:w="1188"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4</w:t>
            </w:r>
          </w:p>
        </w:tc>
        <w:tc>
          <w:tcPr>
            <w:tcW w:w="37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25</w:t>
            </w:r>
          </w:p>
        </w:tc>
        <w:tc>
          <w:tcPr>
            <w:tcW w:w="396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10</w:t>
            </w:r>
          </w:p>
        </w:tc>
      </w:tr>
      <w:tr w:rsidR="00CF2D7A" w:rsidRPr="00CF2D7A">
        <w:trPr>
          <w:jc w:val="center"/>
        </w:trPr>
        <w:tc>
          <w:tcPr>
            <w:tcW w:w="1188"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5</w:t>
            </w:r>
          </w:p>
        </w:tc>
        <w:tc>
          <w:tcPr>
            <w:tcW w:w="37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35</w:t>
            </w:r>
          </w:p>
        </w:tc>
        <w:tc>
          <w:tcPr>
            <w:tcW w:w="396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bCs/>
                <w:sz w:val="20"/>
                <w:szCs w:val="20"/>
              </w:rPr>
            </w:pPr>
            <w:r w:rsidRPr="00CF2D7A">
              <w:rPr>
                <w:rFonts w:ascii="Times New Roman" w:hAnsi="Times New Roman" w:cs="Times New Roman"/>
                <w:bCs/>
                <w:sz w:val="20"/>
                <w:szCs w:val="20"/>
              </w:rPr>
              <w:t>11</w:t>
            </w:r>
          </w:p>
        </w:tc>
      </w:tr>
      <w:tr w:rsidR="00CF2D7A" w:rsidRPr="00CF2D7A">
        <w:trPr>
          <w:jc w:val="center"/>
        </w:trPr>
        <w:tc>
          <w:tcPr>
            <w:tcW w:w="1188" w:type="dxa"/>
            <w:tcBorders>
              <w:top w:val="single" w:sz="4" w:space="0" w:color="auto"/>
              <w:left w:val="single" w:sz="4" w:space="0" w:color="auto"/>
              <w:bottom w:val="single" w:sz="4" w:space="0" w:color="auto"/>
              <w:right w:val="single" w:sz="4" w:space="0" w:color="auto"/>
            </w:tcBorders>
            <w:hideMark/>
          </w:tcPr>
          <w:p w:rsidR="00CF2D7A" w:rsidRPr="00CF2D7A" w:rsidRDefault="00CF2D7A">
            <w:pPr>
              <w:adjustRightInd w:val="0"/>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lastRenderedPageBreak/>
              <w:t>6</w:t>
            </w:r>
          </w:p>
        </w:tc>
        <w:tc>
          <w:tcPr>
            <w:tcW w:w="37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sz w:val="20"/>
                <w:szCs w:val="20"/>
              </w:rPr>
            </w:pPr>
            <w:r w:rsidRPr="00CF2D7A">
              <w:rPr>
                <w:rFonts w:ascii="Times New Roman" w:hAnsi="Times New Roman" w:cs="Times New Roman"/>
                <w:sz w:val="20"/>
                <w:szCs w:val="20"/>
              </w:rPr>
              <w:t>50</w:t>
            </w:r>
          </w:p>
        </w:tc>
        <w:tc>
          <w:tcPr>
            <w:tcW w:w="396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40" w:lineRule="exact"/>
              <w:jc w:val="center"/>
              <w:rPr>
                <w:rFonts w:ascii="Times New Roman" w:hAnsi="Times New Roman" w:cs="Times New Roman"/>
                <w:bCs/>
                <w:sz w:val="20"/>
                <w:szCs w:val="20"/>
              </w:rPr>
            </w:pPr>
            <w:r w:rsidRPr="00CF2D7A">
              <w:rPr>
                <w:rFonts w:ascii="Times New Roman" w:hAnsi="Times New Roman" w:cs="Times New Roman"/>
                <w:bCs/>
                <w:sz w:val="20"/>
                <w:szCs w:val="20"/>
              </w:rPr>
              <w:t>15</w:t>
            </w:r>
          </w:p>
        </w:tc>
      </w:tr>
    </w:tbl>
    <w:p w:rsidR="00CF2D7A" w:rsidRPr="00CF2D7A" w:rsidRDefault="00CF2D7A" w:rsidP="00CF2D7A">
      <w:pPr>
        <w:spacing w:line="240" w:lineRule="exact"/>
        <w:jc w:val="both"/>
        <w:rPr>
          <w:rFonts w:ascii="Times New Roman" w:hAnsi="Times New Roman" w:cs="Times New Roman"/>
          <w:sz w:val="20"/>
          <w:szCs w:val="20"/>
        </w:rPr>
      </w:pPr>
    </w:p>
    <w:p w:rsidR="00CF2D7A" w:rsidRPr="00CF2D7A" w:rsidRDefault="00CF2D7A" w:rsidP="00CF2D7A">
      <w:pPr>
        <w:spacing w:line="240" w:lineRule="exact"/>
        <w:ind w:firstLine="558"/>
        <w:jc w:val="both"/>
        <w:rPr>
          <w:rFonts w:ascii="Times New Roman" w:hAnsi="Times New Roman" w:cs="Times New Roman"/>
          <w:sz w:val="20"/>
          <w:szCs w:val="20"/>
        </w:rPr>
      </w:pPr>
      <w:r w:rsidRPr="00CF2D7A">
        <w:rPr>
          <w:rFonts w:ascii="Times New Roman" w:hAnsi="Times New Roman" w:cs="Times New Roman"/>
          <w:sz w:val="20"/>
          <w:szCs w:val="20"/>
        </w:rPr>
        <w:t xml:space="preserve">(5) Stratejik yatırımlarda sigorta primi işveren hissesi desteğinin miktarı, bölge ayrımı yapılmaksızın sabit yatırım tutarının yüzde onbeşini geçemez. </w:t>
      </w:r>
    </w:p>
    <w:p w:rsidR="00CF2D7A" w:rsidRPr="00CF2D7A" w:rsidRDefault="00CF2D7A" w:rsidP="00CF2D7A">
      <w:pPr>
        <w:tabs>
          <w:tab w:val="left" w:pos="566"/>
        </w:tabs>
        <w:spacing w:line="240" w:lineRule="exact"/>
        <w:ind w:firstLine="558"/>
        <w:jc w:val="both"/>
        <w:rPr>
          <w:rStyle w:val="Normal1"/>
          <w:rFonts w:eastAsiaTheme="minorHAnsi"/>
          <w:sz w:val="20"/>
          <w:szCs w:val="20"/>
          <w:lang w:val="tr-TR"/>
        </w:rPr>
      </w:pPr>
      <w:r w:rsidRPr="00CF2D7A">
        <w:rPr>
          <w:rStyle w:val="Normal1"/>
          <w:rFonts w:eastAsiaTheme="minorHAnsi"/>
          <w:sz w:val="20"/>
          <w:szCs w:val="20"/>
        </w:rPr>
        <w:t xml:space="preserve">(6) İşveren hissesine ait primlerin karşılanabilmesi için, işverenlerin çalıştırdıkları sigortalılarla ilgili olarak 31/5/2006 tarihli ve 5510 sayılı Sosyal Sigortalar ve Genel Sağlık Sigortası Kanunu uyarınca aylık prim ve hizmet belgelerini yasal süresi içerisinde Sosyal Güvenlik Kurumuna vermesi ve sigortalıların tamamına ait sigorta primlerinin sigortalı hissesine isabet eden tutar ile Bakanlıkça karşılanmayan işveren hissesine ait tutarın yasal süresi içerisinde ödenmiş olması şarttır. </w:t>
      </w:r>
      <w:proofErr w:type="gramStart"/>
      <w:r w:rsidRPr="00CF2D7A">
        <w:rPr>
          <w:rStyle w:val="Normal1"/>
          <w:rFonts w:eastAsiaTheme="minorHAnsi"/>
          <w:sz w:val="20"/>
          <w:szCs w:val="20"/>
        </w:rPr>
        <w:t>İşveren tarafından ödenmesi gereken primlerin geç ödenmesi halinde, Bakanlıktan Sosyal Güvenlik Kurumuna yapılacak ödemenin gecikmesinden kaynaklanan gecikme zammı işverenden tahsil edilir.</w:t>
      </w:r>
      <w:proofErr w:type="gramEnd"/>
    </w:p>
    <w:p w:rsidR="00CF2D7A" w:rsidRPr="00CF2D7A" w:rsidRDefault="00CF2D7A" w:rsidP="00CF2D7A">
      <w:pPr>
        <w:tabs>
          <w:tab w:val="left" w:pos="566"/>
        </w:tabs>
        <w:spacing w:line="240" w:lineRule="exact"/>
        <w:ind w:firstLine="567"/>
        <w:jc w:val="both"/>
        <w:rPr>
          <w:rStyle w:val="Normal1"/>
          <w:rFonts w:eastAsiaTheme="minorHAnsi"/>
          <w:bCs/>
          <w:iCs/>
          <w:sz w:val="20"/>
          <w:szCs w:val="20"/>
        </w:rPr>
      </w:pPr>
      <w:r w:rsidRPr="00CF2D7A">
        <w:rPr>
          <w:rStyle w:val="Normal1"/>
          <w:rFonts w:eastAsiaTheme="minorHAnsi"/>
          <w:bCs/>
          <w:iCs/>
          <w:sz w:val="20"/>
          <w:szCs w:val="20"/>
        </w:rPr>
        <w:t xml:space="preserve">(7) Genel teşvik uygulamaları kapsamında desteklenen, tersanelerin gemi inşa yatırımlarında tamamlama vizesi şartı aranmaksızın belge konusu geminin yapımında istihdam edilen işçiler için ödenmesi gereken sigorta primi işveren hissesinin asgari ücrete tekabül </w:t>
      </w:r>
      <w:proofErr w:type="gramStart"/>
      <w:r w:rsidRPr="00CF2D7A">
        <w:rPr>
          <w:rStyle w:val="Normal1"/>
          <w:rFonts w:eastAsiaTheme="minorHAnsi"/>
          <w:bCs/>
          <w:iCs/>
          <w:sz w:val="20"/>
          <w:szCs w:val="20"/>
        </w:rPr>
        <w:t>eden</w:t>
      </w:r>
      <w:proofErr w:type="gramEnd"/>
      <w:r w:rsidRPr="00CF2D7A">
        <w:rPr>
          <w:rStyle w:val="Normal1"/>
          <w:rFonts w:eastAsiaTheme="minorHAnsi"/>
          <w:bCs/>
          <w:iCs/>
          <w:sz w:val="20"/>
          <w:szCs w:val="20"/>
        </w:rPr>
        <w:t xml:space="preserve"> kısmı Bakanlıkça karşılanabilir. </w:t>
      </w:r>
      <w:proofErr w:type="gramStart"/>
      <w:r w:rsidRPr="00CF2D7A">
        <w:rPr>
          <w:rStyle w:val="Normal1"/>
          <w:rFonts w:eastAsiaTheme="minorHAnsi"/>
          <w:bCs/>
          <w:iCs/>
          <w:sz w:val="20"/>
          <w:szCs w:val="20"/>
        </w:rPr>
        <w:t>Bu destek, gemi inşası devam etse dahi yatırıma başlama tarihinden itibaren en fazla on sekiz ay süreyle uygulanır.</w:t>
      </w:r>
      <w:proofErr w:type="gramEnd"/>
      <w:r w:rsidRPr="00CF2D7A">
        <w:rPr>
          <w:rStyle w:val="Normal1"/>
          <w:rFonts w:eastAsiaTheme="minorHAnsi"/>
          <w:bCs/>
          <w:iCs/>
          <w:sz w:val="20"/>
          <w:szCs w:val="20"/>
        </w:rPr>
        <w:t xml:space="preserve"> </w:t>
      </w:r>
      <w:proofErr w:type="gramStart"/>
      <w:r w:rsidRPr="00CF2D7A">
        <w:rPr>
          <w:rStyle w:val="Normal1"/>
          <w:rFonts w:eastAsiaTheme="minorHAnsi"/>
          <w:bCs/>
          <w:iCs/>
          <w:sz w:val="20"/>
          <w:szCs w:val="20"/>
        </w:rPr>
        <w:t>Yat, yüzer tesis ve deniz araçları da bu kapsamda değerlendirilir.</w:t>
      </w:r>
      <w:proofErr w:type="gramEnd"/>
    </w:p>
    <w:p w:rsidR="00CF2D7A" w:rsidRPr="00CF2D7A" w:rsidRDefault="00CF2D7A" w:rsidP="00CF2D7A">
      <w:pPr>
        <w:tabs>
          <w:tab w:val="left" w:pos="566"/>
        </w:tabs>
        <w:spacing w:line="240" w:lineRule="exact"/>
        <w:ind w:firstLine="567"/>
        <w:jc w:val="both"/>
        <w:rPr>
          <w:rStyle w:val="Normal1"/>
          <w:rFonts w:eastAsiaTheme="minorHAnsi"/>
          <w:bCs/>
          <w:iCs/>
          <w:sz w:val="20"/>
          <w:szCs w:val="20"/>
        </w:rPr>
      </w:pPr>
      <w:r w:rsidRPr="00CF2D7A">
        <w:rPr>
          <w:rStyle w:val="Normal1"/>
          <w:rFonts w:eastAsiaTheme="minorHAnsi"/>
          <w:bCs/>
          <w:iCs/>
          <w:sz w:val="20"/>
          <w:szCs w:val="20"/>
        </w:rPr>
        <w:t>(8) Bu desteğin uygulanacağı teşvik belgesi kapsamındaki yatırıma ait tesiste, işverenin sosyal güvenlik işyeri numarası altında ilgili mevzuatta belirlenen alt işverenler tarafından istihdam edilen işçi sayısı da dikkate alınabilir.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sz w:val="20"/>
          <w:szCs w:val="20"/>
        </w:rPr>
        <w:t>(9) Sosyal Güvenlik Kurumuna yapılacak aktarımlarla ilgili usul ve esaslar Bakanlık tarafından belirlenir.</w:t>
      </w:r>
      <w:proofErr w:type="gramEnd"/>
    </w:p>
    <w:p w:rsidR="00CF2D7A" w:rsidRPr="00CF2D7A" w:rsidRDefault="00CF2D7A" w:rsidP="00CF2D7A">
      <w:pPr>
        <w:tabs>
          <w:tab w:val="left" w:pos="540"/>
        </w:tabs>
        <w:spacing w:line="240" w:lineRule="exact"/>
        <w:ind w:firstLine="567"/>
        <w:jc w:val="both"/>
        <w:rPr>
          <w:rStyle w:val="Normal1"/>
          <w:rFonts w:eastAsiaTheme="minorHAnsi"/>
          <w:b/>
          <w:sz w:val="20"/>
          <w:szCs w:val="20"/>
        </w:rPr>
      </w:pPr>
      <w:r w:rsidRPr="00CF2D7A">
        <w:rPr>
          <w:rStyle w:val="Normal1"/>
          <w:rFonts w:eastAsiaTheme="minorHAnsi"/>
          <w:b/>
          <w:sz w:val="20"/>
          <w:szCs w:val="20"/>
        </w:rPr>
        <w:t>Sigorta primi desteği</w:t>
      </w:r>
    </w:p>
    <w:p w:rsidR="00CF2D7A" w:rsidRPr="00CF2D7A" w:rsidRDefault="00CF2D7A" w:rsidP="00CF2D7A">
      <w:pPr>
        <w:tabs>
          <w:tab w:val="left" w:pos="540"/>
        </w:tabs>
        <w:spacing w:line="240" w:lineRule="exact"/>
        <w:ind w:firstLine="567"/>
        <w:jc w:val="both"/>
        <w:rPr>
          <w:rStyle w:val="Normal1"/>
          <w:rFonts w:eastAsiaTheme="minorHAnsi"/>
          <w:sz w:val="20"/>
          <w:szCs w:val="20"/>
        </w:rPr>
      </w:pPr>
      <w:r w:rsidRPr="00CF2D7A">
        <w:rPr>
          <w:rStyle w:val="Normal1"/>
          <w:rFonts w:eastAsiaTheme="minorHAnsi"/>
          <w:b/>
          <w:sz w:val="20"/>
          <w:szCs w:val="20"/>
        </w:rPr>
        <w:t>MADDE 13 - (</w:t>
      </w:r>
      <w:r w:rsidRPr="00CF2D7A">
        <w:rPr>
          <w:rStyle w:val="Normal1"/>
          <w:rFonts w:eastAsiaTheme="minorHAnsi"/>
          <w:sz w:val="20"/>
          <w:szCs w:val="20"/>
        </w:rPr>
        <w:t>1) Bu Karar uyarınca 6 ncı bölgede; büyük ölçekli yatırımlar, stratejik yatırımlar ve bölgesel teşvik uygulamaları kapsamında teşvik belgesine istinaden gerçekleştirilecek yatırımla sağlanan ilave istihdam için, tamamlama vizesi yapılan teşvik belgesinde kayıtlı istihdam sayısını aşmamak kaydıyla, işveren tarafından Sosyal Güvenlik Kurumuna ödenmesi gereken sigorta primi işçi hissesinin asgari ücrete tekabül eden kısmı, tamamlama vizesinin yapılmasını müteakip on yıl süreyle işveren adına Bakanlık bütçesinden karşılanabilir.</w:t>
      </w:r>
    </w:p>
    <w:p w:rsidR="00CF2D7A" w:rsidRPr="00CF2D7A" w:rsidRDefault="00CF2D7A" w:rsidP="00CF2D7A">
      <w:pPr>
        <w:tabs>
          <w:tab w:val="left" w:pos="540"/>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(2) Bu destekten yararlanılabilmesi için, aylık prim ve hizmet belgelerinin yasal süresi içerisinde Sosyal Güvenlik Kurumuna verilmesi ve Bakanlıkça karşılanmayan işçi hissesine ait tutarın yasal süresi içerisinde ödenmiş olması şarttır. </w:t>
      </w:r>
      <w:proofErr w:type="gramStart"/>
      <w:r w:rsidRPr="00CF2D7A">
        <w:rPr>
          <w:rStyle w:val="Normal1"/>
          <w:rFonts w:eastAsiaTheme="minorHAnsi"/>
          <w:sz w:val="20"/>
          <w:szCs w:val="20"/>
        </w:rPr>
        <w:t>Bu destekten yararlanan yatırımcı tarafından ödenmesi gereken primlerin geç ödenmesi halinde, Bakanlıktan Sosyal Güvenlik Kurumuna yapılacak ödemenin gecikmesinden kaynaklanan gecikme zammı işverenden tahsil edilir.</w:t>
      </w:r>
      <w:proofErr w:type="gramEnd"/>
    </w:p>
    <w:p w:rsidR="00CF2D7A" w:rsidRPr="00CF2D7A" w:rsidRDefault="00CF2D7A" w:rsidP="00CF2D7A">
      <w:pPr>
        <w:tabs>
          <w:tab w:val="left" w:pos="540"/>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(3) 12 nci maddenin sekizinci fıkrasında yer </w:t>
      </w:r>
      <w:proofErr w:type="gramStart"/>
      <w:r w:rsidRPr="00CF2D7A">
        <w:rPr>
          <w:rStyle w:val="Normal1"/>
          <w:rFonts w:eastAsiaTheme="minorHAnsi"/>
          <w:sz w:val="20"/>
          <w:szCs w:val="20"/>
        </w:rPr>
        <w:t>alan</w:t>
      </w:r>
      <w:proofErr w:type="gramEnd"/>
      <w:r w:rsidRPr="00CF2D7A">
        <w:rPr>
          <w:rStyle w:val="Normal1"/>
          <w:rFonts w:eastAsiaTheme="minorHAnsi"/>
          <w:sz w:val="20"/>
          <w:szCs w:val="20"/>
        </w:rPr>
        <w:t xml:space="preserve"> hüküm sigorta primi desteği için de uygulanabilir.</w:t>
      </w: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Gelir vergisi stopajı desteği</w:t>
      </w:r>
    </w:p>
    <w:p w:rsidR="00CF2D7A" w:rsidRPr="00CF2D7A" w:rsidRDefault="00CF2D7A" w:rsidP="00CF2D7A">
      <w:pPr>
        <w:spacing w:line="240" w:lineRule="exact"/>
        <w:ind w:firstLine="567"/>
        <w:jc w:val="both"/>
        <w:rPr>
          <w:rStyle w:val="Normal1"/>
          <w:rFonts w:eastAsiaTheme="minorHAnsi"/>
          <w:sz w:val="20"/>
          <w:szCs w:val="20"/>
        </w:rPr>
      </w:pPr>
      <w:r w:rsidRPr="00CF2D7A">
        <w:rPr>
          <w:rStyle w:val="Normal1"/>
          <w:rFonts w:eastAsiaTheme="minorHAnsi"/>
          <w:b/>
          <w:sz w:val="20"/>
          <w:szCs w:val="20"/>
        </w:rPr>
        <w:t>MADDE 14 - (</w:t>
      </w:r>
      <w:r w:rsidRPr="00CF2D7A">
        <w:rPr>
          <w:rStyle w:val="Normal1"/>
          <w:rFonts w:eastAsiaTheme="minorHAnsi"/>
          <w:sz w:val="20"/>
          <w:szCs w:val="20"/>
        </w:rPr>
        <w:t>1)</w:t>
      </w:r>
      <w:r w:rsidRPr="00CF2D7A">
        <w:rPr>
          <w:rStyle w:val="Normal1"/>
          <w:rFonts w:eastAsiaTheme="minorHAnsi"/>
          <w:b/>
          <w:sz w:val="20"/>
          <w:szCs w:val="20"/>
        </w:rPr>
        <w:t xml:space="preserve"> </w:t>
      </w:r>
      <w:r w:rsidRPr="00CF2D7A">
        <w:rPr>
          <w:rStyle w:val="Normal1"/>
          <w:rFonts w:eastAsiaTheme="minorHAnsi"/>
          <w:sz w:val="20"/>
          <w:szCs w:val="20"/>
        </w:rPr>
        <w:t>Bu Karar uyarınca</w:t>
      </w:r>
      <w:r w:rsidRPr="00CF2D7A">
        <w:rPr>
          <w:rStyle w:val="Normal1"/>
          <w:rFonts w:eastAsiaTheme="minorHAnsi"/>
          <w:b/>
          <w:sz w:val="20"/>
          <w:szCs w:val="20"/>
        </w:rPr>
        <w:t xml:space="preserve"> </w:t>
      </w:r>
      <w:r w:rsidRPr="00CF2D7A">
        <w:rPr>
          <w:rStyle w:val="Normal1"/>
          <w:rFonts w:eastAsiaTheme="minorHAnsi"/>
          <w:sz w:val="20"/>
          <w:szCs w:val="20"/>
        </w:rPr>
        <w:t>6 ncı bölge için düzenlenen teşvik belgeleri kapsamında gerçekleştirilecek yatırımlarla sağlanan ilave istihdam için, belgede kayıtlı istihdam sayısını aşmamak kaydıyla, işçilerin ücretlerinin asgari ücrete tekabül eden kısmı üzerinden hesaplanan gelir vergisi, yatırımın kısmen veya tamamen faaliyete geçtiği tarihten itibaren on yıl süreyle verilecek muhtasar beyanname üzerinden tahakkuk eden vergiden terkin edilir.</w:t>
      </w:r>
    </w:p>
    <w:p w:rsidR="00CF2D7A" w:rsidRPr="00CF2D7A" w:rsidRDefault="00CF2D7A" w:rsidP="00CF2D7A">
      <w:pPr>
        <w:spacing w:line="240" w:lineRule="exact"/>
        <w:ind w:firstLine="540"/>
        <w:jc w:val="both"/>
        <w:rPr>
          <w:rStyle w:val="Normal1"/>
          <w:rFonts w:eastAsiaTheme="minorHAnsi"/>
          <w:sz w:val="20"/>
          <w:szCs w:val="20"/>
        </w:rPr>
      </w:pPr>
      <w:r w:rsidRPr="00CF2D7A">
        <w:rPr>
          <w:rStyle w:val="Normal1"/>
          <w:rFonts w:eastAsiaTheme="minorHAnsi"/>
          <w:sz w:val="20"/>
          <w:szCs w:val="20"/>
        </w:rPr>
        <w:t xml:space="preserve">(2) Yatırımın tamamlanamaması veya teşvik belgesinin iptal edilmesi halinde, gelir vergisi stopajı desteği uygulaması nedeniyle terkin edilen vergiler, vergi ziyaı cezası uygulanmaksızın gecikme faiziyle birlikte tahsil olunur. </w:t>
      </w:r>
    </w:p>
    <w:p w:rsidR="00CF2D7A" w:rsidRPr="00CF2D7A" w:rsidRDefault="00CF2D7A" w:rsidP="00CF2D7A">
      <w:pPr>
        <w:spacing w:line="240" w:lineRule="exact"/>
        <w:ind w:firstLine="558"/>
        <w:jc w:val="both"/>
        <w:rPr>
          <w:rStyle w:val="Normal1"/>
          <w:rFonts w:eastAsiaTheme="minorHAnsi"/>
          <w:sz w:val="20"/>
          <w:szCs w:val="20"/>
        </w:rPr>
      </w:pPr>
      <w:r w:rsidRPr="00CF2D7A">
        <w:rPr>
          <w:rStyle w:val="Normal1"/>
          <w:rFonts w:eastAsiaTheme="minorHAnsi"/>
          <w:sz w:val="20"/>
          <w:szCs w:val="20"/>
        </w:rPr>
        <w:t xml:space="preserve">(3) Yatırımın faaliyete geçmesinden önce devri halinde devralan, aynı koşulları yerine getirmek kaydıyla gelir vergisi stopajı desteğinden yararlanır. </w:t>
      </w:r>
    </w:p>
    <w:p w:rsidR="00CF2D7A" w:rsidRPr="00CF2D7A" w:rsidRDefault="00CF2D7A" w:rsidP="00CF2D7A">
      <w:pPr>
        <w:spacing w:line="240" w:lineRule="exact"/>
        <w:ind w:firstLine="558"/>
        <w:jc w:val="both"/>
        <w:rPr>
          <w:rStyle w:val="Normal1"/>
          <w:rFonts w:eastAsiaTheme="minorHAnsi"/>
          <w:sz w:val="20"/>
          <w:szCs w:val="20"/>
        </w:rPr>
      </w:pPr>
      <w:r w:rsidRPr="00CF2D7A">
        <w:rPr>
          <w:rFonts w:ascii="Times New Roman" w:hAnsi="Times New Roman" w:cs="Times New Roman"/>
          <w:sz w:val="20"/>
          <w:szCs w:val="20"/>
        </w:rPr>
        <w:lastRenderedPageBreak/>
        <w:t>(4) Yatırımın kısmen veya tamamen faaliyete geçmesinden sonra devri halinde, gelir vergisi stopajı desteği uygulamasından devir tarihine kadar devreden, devir tarihinden sonra ise kalan süre kadar devralan yararlanır.</w:t>
      </w:r>
    </w:p>
    <w:p w:rsidR="00CF2D7A" w:rsidRPr="00CF2D7A" w:rsidRDefault="00CF2D7A" w:rsidP="00CF2D7A">
      <w:pPr>
        <w:tabs>
          <w:tab w:val="left" w:pos="566"/>
        </w:tabs>
        <w:spacing w:line="240" w:lineRule="exact"/>
        <w:ind w:firstLine="558"/>
        <w:jc w:val="both"/>
        <w:rPr>
          <w:rStyle w:val="Normal1"/>
          <w:rFonts w:eastAsiaTheme="minorHAnsi"/>
          <w:b/>
          <w:sz w:val="20"/>
          <w:szCs w:val="20"/>
        </w:rPr>
      </w:pPr>
      <w:r w:rsidRPr="00CF2D7A">
        <w:rPr>
          <w:rStyle w:val="Normal1"/>
          <w:rFonts w:eastAsiaTheme="minorHAnsi"/>
          <w:b/>
          <w:sz w:val="20"/>
          <w:szCs w:val="20"/>
        </w:rPr>
        <w:t>Vergi indirimi</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b/>
          <w:sz w:val="20"/>
          <w:szCs w:val="20"/>
        </w:rPr>
        <w:t>MADDE 15 - (</w:t>
      </w:r>
      <w:r w:rsidRPr="00CF2D7A">
        <w:rPr>
          <w:rStyle w:val="Normal1"/>
          <w:rFonts w:eastAsiaTheme="minorHAnsi"/>
          <w:sz w:val="20"/>
          <w:szCs w:val="20"/>
        </w:rPr>
        <w:t xml:space="preserve">1) Büyük ölçekli yatırımlar ile bölgesel teşvik uygulamaları kapsamında gerçekleştirilecek yatırımlarda, 5520 sayılı Kanunun 32/A maddesi çerçevesinde gelir veya kurumlar vergisi, öngörülen yatırıma katkı tutarına ulaşıncaya </w:t>
      </w:r>
      <w:proofErr w:type="gramStart"/>
      <w:r w:rsidRPr="00CF2D7A">
        <w:rPr>
          <w:rStyle w:val="Normal1"/>
          <w:rFonts w:eastAsiaTheme="minorHAnsi"/>
          <w:sz w:val="20"/>
          <w:szCs w:val="20"/>
        </w:rPr>
        <w:t>kadar</w:t>
      </w:r>
      <w:proofErr w:type="gramEnd"/>
      <w:r w:rsidRPr="00CF2D7A">
        <w:rPr>
          <w:rStyle w:val="Normal1"/>
          <w:rFonts w:eastAsiaTheme="minorHAnsi"/>
          <w:sz w:val="20"/>
          <w:szCs w:val="20"/>
        </w:rPr>
        <w:t xml:space="preserve"> aşağıda belirtilen oranlarda indirimli olarak uygulanır.</w:t>
      </w:r>
    </w:p>
    <w:p w:rsidR="00CF2D7A" w:rsidRPr="00CF2D7A" w:rsidRDefault="00CF2D7A" w:rsidP="00CF2D7A">
      <w:pPr>
        <w:tabs>
          <w:tab w:val="left" w:pos="566"/>
        </w:tabs>
        <w:spacing w:line="240" w:lineRule="exact"/>
        <w:ind w:firstLine="558"/>
        <w:jc w:val="both"/>
        <w:rPr>
          <w:rStyle w:val="Normal1"/>
          <w:rFonts w:eastAsiaTheme="minorHAnsi"/>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1"/>
        <w:gridCol w:w="1657"/>
        <w:gridCol w:w="1980"/>
        <w:gridCol w:w="1866"/>
        <w:gridCol w:w="1881"/>
      </w:tblGrid>
      <w:tr w:rsidR="00CF2D7A" w:rsidRPr="00CF2D7A">
        <w:trPr>
          <w:trHeight w:val="20"/>
          <w:jc w:val="center"/>
        </w:trPr>
        <w:tc>
          <w:tcPr>
            <w:tcW w:w="1121" w:type="dxa"/>
            <w:tcBorders>
              <w:top w:val="single" w:sz="4" w:space="0" w:color="auto"/>
              <w:left w:val="single" w:sz="4" w:space="0" w:color="auto"/>
              <w:bottom w:val="single" w:sz="4" w:space="0" w:color="auto"/>
              <w:right w:val="single" w:sz="4" w:space="0" w:color="auto"/>
            </w:tcBorders>
          </w:tcPr>
          <w:p w:rsidR="00CF2D7A" w:rsidRPr="00CF2D7A" w:rsidRDefault="00CF2D7A">
            <w:pPr>
              <w:spacing w:line="240" w:lineRule="exact"/>
              <w:ind w:right="-45"/>
              <w:jc w:val="both"/>
              <w:rPr>
                <w:rFonts w:ascii="Times New Roman" w:hAnsi="Times New Roman" w:cs="Times New Roman"/>
                <w:sz w:val="20"/>
                <w:szCs w:val="20"/>
              </w:rPr>
            </w:pPr>
          </w:p>
        </w:tc>
        <w:tc>
          <w:tcPr>
            <w:tcW w:w="3637" w:type="dxa"/>
            <w:gridSpan w:val="2"/>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Bölgesel Teşvik Uygulamaları</w:t>
            </w:r>
          </w:p>
        </w:tc>
        <w:tc>
          <w:tcPr>
            <w:tcW w:w="3747" w:type="dxa"/>
            <w:gridSpan w:val="2"/>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Büyük Ölçekli Yatırımlar</w:t>
            </w:r>
          </w:p>
        </w:tc>
      </w:tr>
      <w:tr w:rsidR="00CF2D7A" w:rsidRPr="00CF2D7A">
        <w:trPr>
          <w:trHeight w:val="20"/>
          <w:jc w:val="center"/>
        </w:trPr>
        <w:tc>
          <w:tcPr>
            <w:tcW w:w="1121"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Bölgeler</w:t>
            </w:r>
          </w:p>
        </w:tc>
        <w:tc>
          <w:tcPr>
            <w:tcW w:w="1657"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Yatırıma katkı oranı (%)</w:t>
            </w:r>
          </w:p>
        </w:tc>
        <w:tc>
          <w:tcPr>
            <w:tcW w:w="1980"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Kurumlar vergisi veya gelir vergisi indirim oranı (%)</w:t>
            </w:r>
          </w:p>
        </w:tc>
        <w:tc>
          <w:tcPr>
            <w:tcW w:w="1866"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Yatırıma katkı oranı (%)</w:t>
            </w:r>
          </w:p>
        </w:tc>
        <w:tc>
          <w:tcPr>
            <w:tcW w:w="1881"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Kurumlar vergisi veya gelir vergisi indirim oranı (%)</w:t>
            </w:r>
          </w:p>
        </w:tc>
      </w:tr>
      <w:tr w:rsidR="00CF2D7A" w:rsidRPr="00CF2D7A">
        <w:trPr>
          <w:trHeight w:val="20"/>
          <w:jc w:val="center"/>
        </w:trPr>
        <w:tc>
          <w:tcPr>
            <w:tcW w:w="1121"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1</w:t>
            </w:r>
          </w:p>
        </w:tc>
        <w:tc>
          <w:tcPr>
            <w:tcW w:w="165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10</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30</w:t>
            </w:r>
          </w:p>
        </w:tc>
        <w:tc>
          <w:tcPr>
            <w:tcW w:w="1866"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20</w:t>
            </w:r>
          </w:p>
        </w:tc>
        <w:tc>
          <w:tcPr>
            <w:tcW w:w="1881"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30</w:t>
            </w:r>
          </w:p>
        </w:tc>
      </w:tr>
      <w:tr w:rsidR="00CF2D7A" w:rsidRPr="00CF2D7A">
        <w:trPr>
          <w:trHeight w:val="20"/>
          <w:jc w:val="center"/>
        </w:trPr>
        <w:tc>
          <w:tcPr>
            <w:tcW w:w="1121"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2</w:t>
            </w:r>
          </w:p>
        </w:tc>
        <w:tc>
          <w:tcPr>
            <w:tcW w:w="165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15</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40</w:t>
            </w:r>
          </w:p>
        </w:tc>
        <w:tc>
          <w:tcPr>
            <w:tcW w:w="1866"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bCs/>
                <w:sz w:val="20"/>
                <w:szCs w:val="20"/>
              </w:rPr>
              <w:t>25</w:t>
            </w:r>
          </w:p>
        </w:tc>
        <w:tc>
          <w:tcPr>
            <w:tcW w:w="1881"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40</w:t>
            </w:r>
          </w:p>
        </w:tc>
      </w:tr>
      <w:tr w:rsidR="00CF2D7A" w:rsidRPr="00CF2D7A">
        <w:trPr>
          <w:trHeight w:val="20"/>
          <w:jc w:val="center"/>
        </w:trPr>
        <w:tc>
          <w:tcPr>
            <w:tcW w:w="1121"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3</w:t>
            </w:r>
          </w:p>
        </w:tc>
        <w:tc>
          <w:tcPr>
            <w:tcW w:w="165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bCs/>
                <w:sz w:val="20"/>
                <w:szCs w:val="20"/>
              </w:rPr>
              <w:t>20</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50</w:t>
            </w:r>
          </w:p>
        </w:tc>
        <w:tc>
          <w:tcPr>
            <w:tcW w:w="1866"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bCs/>
                <w:sz w:val="20"/>
                <w:szCs w:val="20"/>
              </w:rPr>
              <w:t>30</w:t>
            </w:r>
          </w:p>
        </w:tc>
        <w:tc>
          <w:tcPr>
            <w:tcW w:w="1881"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50</w:t>
            </w:r>
          </w:p>
        </w:tc>
      </w:tr>
      <w:tr w:rsidR="00CF2D7A" w:rsidRPr="00CF2D7A">
        <w:trPr>
          <w:trHeight w:val="20"/>
          <w:jc w:val="center"/>
        </w:trPr>
        <w:tc>
          <w:tcPr>
            <w:tcW w:w="1121"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4</w:t>
            </w:r>
          </w:p>
        </w:tc>
        <w:tc>
          <w:tcPr>
            <w:tcW w:w="165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25</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60</w:t>
            </w:r>
          </w:p>
        </w:tc>
        <w:tc>
          <w:tcPr>
            <w:tcW w:w="1866"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bCs/>
                <w:sz w:val="20"/>
                <w:szCs w:val="20"/>
              </w:rPr>
              <w:t>35</w:t>
            </w:r>
          </w:p>
        </w:tc>
        <w:tc>
          <w:tcPr>
            <w:tcW w:w="1881"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60</w:t>
            </w:r>
          </w:p>
        </w:tc>
      </w:tr>
      <w:tr w:rsidR="00CF2D7A" w:rsidRPr="00CF2D7A">
        <w:trPr>
          <w:trHeight w:val="20"/>
          <w:jc w:val="center"/>
        </w:trPr>
        <w:tc>
          <w:tcPr>
            <w:tcW w:w="1121"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5</w:t>
            </w:r>
          </w:p>
        </w:tc>
        <w:tc>
          <w:tcPr>
            <w:tcW w:w="165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30</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70</w:t>
            </w:r>
          </w:p>
        </w:tc>
        <w:tc>
          <w:tcPr>
            <w:tcW w:w="1866"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bCs/>
                <w:sz w:val="20"/>
                <w:szCs w:val="20"/>
              </w:rPr>
            </w:pPr>
            <w:r w:rsidRPr="00CF2D7A">
              <w:rPr>
                <w:rFonts w:ascii="Times New Roman" w:hAnsi="Times New Roman" w:cs="Times New Roman"/>
                <w:bCs/>
                <w:sz w:val="20"/>
                <w:szCs w:val="20"/>
              </w:rPr>
              <w:t>40</w:t>
            </w:r>
          </w:p>
        </w:tc>
        <w:tc>
          <w:tcPr>
            <w:tcW w:w="1881"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70</w:t>
            </w:r>
          </w:p>
        </w:tc>
      </w:tr>
      <w:tr w:rsidR="00CF2D7A" w:rsidRPr="00CF2D7A">
        <w:trPr>
          <w:trHeight w:val="20"/>
          <w:jc w:val="center"/>
        </w:trPr>
        <w:tc>
          <w:tcPr>
            <w:tcW w:w="1121"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6</w:t>
            </w:r>
          </w:p>
        </w:tc>
        <w:tc>
          <w:tcPr>
            <w:tcW w:w="165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35</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90</w:t>
            </w:r>
          </w:p>
        </w:tc>
        <w:tc>
          <w:tcPr>
            <w:tcW w:w="1866"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bCs/>
                <w:sz w:val="20"/>
                <w:szCs w:val="20"/>
              </w:rPr>
            </w:pPr>
            <w:r w:rsidRPr="00CF2D7A">
              <w:rPr>
                <w:rFonts w:ascii="Times New Roman" w:hAnsi="Times New Roman" w:cs="Times New Roman"/>
                <w:bCs/>
                <w:sz w:val="20"/>
                <w:szCs w:val="20"/>
              </w:rPr>
              <w:t>45</w:t>
            </w:r>
          </w:p>
        </w:tc>
        <w:tc>
          <w:tcPr>
            <w:tcW w:w="1881"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90</w:t>
            </w:r>
          </w:p>
        </w:tc>
      </w:tr>
    </w:tbl>
    <w:p w:rsidR="00CF2D7A" w:rsidRPr="00CF2D7A" w:rsidRDefault="00CF2D7A" w:rsidP="00CF2D7A">
      <w:pPr>
        <w:tabs>
          <w:tab w:val="left" w:pos="566"/>
        </w:tabs>
        <w:spacing w:line="240" w:lineRule="exact"/>
        <w:ind w:firstLine="558"/>
        <w:jc w:val="both"/>
        <w:rPr>
          <w:rStyle w:val="Normal1"/>
          <w:rFonts w:eastAsiaTheme="minorHAnsi"/>
          <w:sz w:val="20"/>
          <w:szCs w:val="20"/>
          <w:lang w:val="tr-TR"/>
        </w:rPr>
      </w:pP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ab/>
        <w:t xml:space="preserve">(2) Ancak, bu Karara istinaden düzenlenecek teşvik belgeleri kapsamında 31/12/2013 tarihine </w:t>
      </w:r>
      <w:proofErr w:type="gramStart"/>
      <w:r w:rsidRPr="00CF2D7A">
        <w:rPr>
          <w:rStyle w:val="Normal1"/>
          <w:rFonts w:eastAsiaTheme="minorHAnsi"/>
          <w:sz w:val="20"/>
          <w:szCs w:val="20"/>
        </w:rPr>
        <w:t>kadar</w:t>
      </w:r>
      <w:proofErr w:type="gramEnd"/>
      <w:r w:rsidRPr="00CF2D7A">
        <w:rPr>
          <w:rStyle w:val="Normal1"/>
          <w:rFonts w:eastAsiaTheme="minorHAnsi"/>
          <w:sz w:val="20"/>
          <w:szCs w:val="20"/>
        </w:rPr>
        <w:t xml:space="preserve"> (bu tarih dahil) yatırıma başlanılmış olması halinde aşağıdaki tabloda belirtilen indirim oranları ile yatırıma katkı oranları uygulanır.</w:t>
      </w:r>
    </w:p>
    <w:p w:rsidR="00CF2D7A" w:rsidRPr="00CF2D7A" w:rsidRDefault="00CF2D7A" w:rsidP="00CF2D7A">
      <w:pPr>
        <w:tabs>
          <w:tab w:val="left" w:pos="566"/>
        </w:tabs>
        <w:spacing w:line="240" w:lineRule="exact"/>
        <w:ind w:firstLine="558"/>
        <w:jc w:val="both"/>
        <w:rPr>
          <w:rStyle w:val="Normal1"/>
          <w:rFonts w:eastAsiaTheme="minorHAnsi"/>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8"/>
        <w:gridCol w:w="1620"/>
        <w:gridCol w:w="1980"/>
        <w:gridCol w:w="1800"/>
        <w:gridCol w:w="1947"/>
      </w:tblGrid>
      <w:tr w:rsidR="00CF2D7A" w:rsidRPr="00CF2D7A">
        <w:trPr>
          <w:trHeight w:val="20"/>
          <w:jc w:val="center"/>
        </w:trPr>
        <w:tc>
          <w:tcPr>
            <w:tcW w:w="1158" w:type="dxa"/>
            <w:tcBorders>
              <w:top w:val="single" w:sz="4" w:space="0" w:color="auto"/>
              <w:left w:val="single" w:sz="4" w:space="0" w:color="auto"/>
              <w:bottom w:val="single" w:sz="4" w:space="0" w:color="auto"/>
              <w:right w:val="single" w:sz="4" w:space="0" w:color="auto"/>
            </w:tcBorders>
          </w:tcPr>
          <w:p w:rsidR="00CF2D7A" w:rsidRPr="00CF2D7A" w:rsidRDefault="00CF2D7A">
            <w:pPr>
              <w:spacing w:line="240" w:lineRule="exact"/>
              <w:ind w:right="-45"/>
              <w:jc w:val="both"/>
              <w:rPr>
                <w:rFonts w:ascii="Times New Roman" w:hAnsi="Times New Roman" w:cs="Times New Roman"/>
                <w:sz w:val="20"/>
                <w:szCs w:val="20"/>
              </w:rPr>
            </w:pPr>
          </w:p>
        </w:tc>
        <w:tc>
          <w:tcPr>
            <w:tcW w:w="3600" w:type="dxa"/>
            <w:gridSpan w:val="2"/>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Bölgesel Teşvik Uygulamaları</w:t>
            </w:r>
          </w:p>
        </w:tc>
        <w:tc>
          <w:tcPr>
            <w:tcW w:w="3747" w:type="dxa"/>
            <w:gridSpan w:val="2"/>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Büyük Ölçekli Yatırımlar</w:t>
            </w:r>
          </w:p>
        </w:tc>
      </w:tr>
      <w:tr w:rsidR="00CF2D7A" w:rsidRPr="00CF2D7A">
        <w:trPr>
          <w:trHeight w:val="20"/>
          <w:jc w:val="center"/>
        </w:trPr>
        <w:tc>
          <w:tcPr>
            <w:tcW w:w="1158"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Bölgeler</w:t>
            </w:r>
          </w:p>
        </w:tc>
        <w:tc>
          <w:tcPr>
            <w:tcW w:w="1620"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Yatırıma katkı oranı (%)</w:t>
            </w:r>
          </w:p>
        </w:tc>
        <w:tc>
          <w:tcPr>
            <w:tcW w:w="1980"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Kurumlar vergisi veya gelir vergisi indirim oranı (%)</w:t>
            </w:r>
          </w:p>
        </w:tc>
        <w:tc>
          <w:tcPr>
            <w:tcW w:w="1800"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Yatırıma katkı oranı (%)</w:t>
            </w:r>
          </w:p>
        </w:tc>
        <w:tc>
          <w:tcPr>
            <w:tcW w:w="1947" w:type="dxa"/>
            <w:tcBorders>
              <w:top w:val="single" w:sz="4" w:space="0" w:color="auto"/>
              <w:left w:val="single" w:sz="4" w:space="0" w:color="auto"/>
              <w:bottom w:val="single" w:sz="4" w:space="0" w:color="auto"/>
              <w:right w:val="single" w:sz="4" w:space="0" w:color="auto"/>
            </w:tcBorders>
            <w:vAlign w:val="center"/>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Kurumlar vergisi veya gelir vergisi indirim oranı (%)</w:t>
            </w:r>
          </w:p>
        </w:tc>
      </w:tr>
      <w:tr w:rsidR="00CF2D7A" w:rsidRPr="00CF2D7A">
        <w:trPr>
          <w:trHeight w:val="20"/>
          <w:jc w:val="center"/>
        </w:trPr>
        <w:tc>
          <w:tcPr>
            <w:tcW w:w="1158"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15</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50</w:t>
            </w:r>
          </w:p>
        </w:tc>
        <w:tc>
          <w:tcPr>
            <w:tcW w:w="180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25</w:t>
            </w:r>
          </w:p>
        </w:tc>
        <w:tc>
          <w:tcPr>
            <w:tcW w:w="194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50</w:t>
            </w:r>
          </w:p>
        </w:tc>
      </w:tr>
      <w:tr w:rsidR="00CF2D7A" w:rsidRPr="00CF2D7A">
        <w:trPr>
          <w:trHeight w:val="20"/>
          <w:jc w:val="center"/>
        </w:trPr>
        <w:tc>
          <w:tcPr>
            <w:tcW w:w="1158"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20</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55</w:t>
            </w:r>
          </w:p>
        </w:tc>
        <w:tc>
          <w:tcPr>
            <w:tcW w:w="180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30</w:t>
            </w:r>
          </w:p>
        </w:tc>
        <w:tc>
          <w:tcPr>
            <w:tcW w:w="194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55</w:t>
            </w:r>
          </w:p>
        </w:tc>
      </w:tr>
      <w:tr w:rsidR="00CF2D7A" w:rsidRPr="00CF2D7A">
        <w:trPr>
          <w:trHeight w:val="20"/>
          <w:jc w:val="center"/>
        </w:trPr>
        <w:tc>
          <w:tcPr>
            <w:tcW w:w="1158"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3</w:t>
            </w:r>
          </w:p>
        </w:tc>
        <w:tc>
          <w:tcPr>
            <w:tcW w:w="162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25</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60</w:t>
            </w:r>
          </w:p>
        </w:tc>
        <w:tc>
          <w:tcPr>
            <w:tcW w:w="180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35</w:t>
            </w:r>
          </w:p>
        </w:tc>
        <w:tc>
          <w:tcPr>
            <w:tcW w:w="194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60</w:t>
            </w:r>
          </w:p>
        </w:tc>
      </w:tr>
      <w:tr w:rsidR="00CF2D7A" w:rsidRPr="00CF2D7A">
        <w:trPr>
          <w:trHeight w:val="20"/>
          <w:jc w:val="center"/>
        </w:trPr>
        <w:tc>
          <w:tcPr>
            <w:tcW w:w="1158"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4</w:t>
            </w:r>
          </w:p>
        </w:tc>
        <w:tc>
          <w:tcPr>
            <w:tcW w:w="162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30</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70</w:t>
            </w:r>
          </w:p>
        </w:tc>
        <w:tc>
          <w:tcPr>
            <w:tcW w:w="180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40</w:t>
            </w:r>
          </w:p>
        </w:tc>
        <w:tc>
          <w:tcPr>
            <w:tcW w:w="194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70</w:t>
            </w:r>
          </w:p>
        </w:tc>
      </w:tr>
      <w:tr w:rsidR="00CF2D7A" w:rsidRPr="00CF2D7A">
        <w:trPr>
          <w:trHeight w:val="20"/>
          <w:jc w:val="center"/>
        </w:trPr>
        <w:tc>
          <w:tcPr>
            <w:tcW w:w="1158"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5</w:t>
            </w:r>
          </w:p>
        </w:tc>
        <w:tc>
          <w:tcPr>
            <w:tcW w:w="162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40</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80</w:t>
            </w:r>
          </w:p>
        </w:tc>
        <w:tc>
          <w:tcPr>
            <w:tcW w:w="180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50</w:t>
            </w:r>
          </w:p>
        </w:tc>
        <w:tc>
          <w:tcPr>
            <w:tcW w:w="194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80</w:t>
            </w:r>
          </w:p>
        </w:tc>
      </w:tr>
      <w:tr w:rsidR="00CF2D7A" w:rsidRPr="00CF2D7A">
        <w:trPr>
          <w:trHeight w:val="20"/>
          <w:jc w:val="center"/>
        </w:trPr>
        <w:tc>
          <w:tcPr>
            <w:tcW w:w="1158" w:type="dxa"/>
            <w:tcBorders>
              <w:top w:val="single" w:sz="4" w:space="0" w:color="auto"/>
              <w:left w:val="single" w:sz="4" w:space="0" w:color="auto"/>
              <w:bottom w:val="single" w:sz="4" w:space="0" w:color="auto"/>
              <w:right w:val="single" w:sz="4" w:space="0" w:color="auto"/>
            </w:tcBorders>
            <w:hideMark/>
          </w:tcPr>
          <w:p w:rsidR="00CF2D7A" w:rsidRPr="00CF2D7A" w:rsidRDefault="00CF2D7A">
            <w:pPr>
              <w:spacing w:line="20" w:lineRule="atLeast"/>
              <w:ind w:right="-45"/>
              <w:jc w:val="center"/>
              <w:rPr>
                <w:rFonts w:ascii="Times New Roman" w:hAnsi="Times New Roman" w:cs="Times New Roman"/>
                <w:sz w:val="20"/>
                <w:szCs w:val="20"/>
              </w:rPr>
            </w:pPr>
            <w:r w:rsidRPr="00CF2D7A">
              <w:rPr>
                <w:rFonts w:ascii="Times New Roman" w:hAnsi="Times New Roman" w:cs="Times New Roman"/>
                <w:sz w:val="20"/>
                <w:szCs w:val="20"/>
              </w:rPr>
              <w:t>6</w:t>
            </w:r>
          </w:p>
        </w:tc>
        <w:tc>
          <w:tcPr>
            <w:tcW w:w="162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50</w:t>
            </w:r>
          </w:p>
        </w:tc>
        <w:tc>
          <w:tcPr>
            <w:tcW w:w="198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90</w:t>
            </w:r>
          </w:p>
        </w:tc>
        <w:tc>
          <w:tcPr>
            <w:tcW w:w="1800"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60</w:t>
            </w:r>
          </w:p>
        </w:tc>
        <w:tc>
          <w:tcPr>
            <w:tcW w:w="1947" w:type="dxa"/>
            <w:tcBorders>
              <w:top w:val="single" w:sz="4" w:space="0" w:color="auto"/>
              <w:left w:val="single" w:sz="4" w:space="0" w:color="auto"/>
              <w:bottom w:val="single" w:sz="4" w:space="0" w:color="auto"/>
              <w:right w:val="single" w:sz="4" w:space="0" w:color="auto"/>
            </w:tcBorders>
            <w:vAlign w:val="bottom"/>
            <w:hideMark/>
          </w:tcPr>
          <w:p w:rsidR="00CF2D7A" w:rsidRPr="00CF2D7A" w:rsidRDefault="00CF2D7A">
            <w:pPr>
              <w:spacing w:line="20" w:lineRule="atLeast"/>
              <w:jc w:val="center"/>
              <w:rPr>
                <w:rFonts w:ascii="Times New Roman" w:hAnsi="Times New Roman" w:cs="Times New Roman"/>
                <w:sz w:val="20"/>
                <w:szCs w:val="20"/>
              </w:rPr>
            </w:pPr>
            <w:r w:rsidRPr="00CF2D7A">
              <w:rPr>
                <w:rFonts w:ascii="Times New Roman" w:hAnsi="Times New Roman" w:cs="Times New Roman"/>
                <w:sz w:val="20"/>
                <w:szCs w:val="20"/>
              </w:rPr>
              <w:t>90</w:t>
            </w:r>
          </w:p>
        </w:tc>
      </w:tr>
    </w:tbl>
    <w:p w:rsidR="00CF2D7A" w:rsidRPr="00CF2D7A" w:rsidRDefault="00CF2D7A" w:rsidP="00CF2D7A">
      <w:pPr>
        <w:tabs>
          <w:tab w:val="left" w:pos="566"/>
        </w:tabs>
        <w:spacing w:line="240" w:lineRule="exact"/>
        <w:ind w:firstLine="567"/>
        <w:jc w:val="both"/>
        <w:rPr>
          <w:rStyle w:val="Normal1"/>
          <w:rFonts w:eastAsiaTheme="minorHAnsi"/>
          <w:sz w:val="20"/>
          <w:szCs w:val="20"/>
          <w:lang w:val="tr-TR"/>
        </w:rPr>
      </w:pP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(3) Stratejik yatırımlar için tüm bölgelerde uygulanacak vergi indirimi oranı yüzde doksan ve yatırıma katkı oranı </w:t>
      </w:r>
      <w:r w:rsidRPr="00CF2D7A">
        <w:rPr>
          <w:rStyle w:val="Normal1"/>
          <w:rFonts w:eastAsiaTheme="minorHAnsi"/>
          <w:bCs/>
          <w:sz w:val="20"/>
          <w:szCs w:val="20"/>
        </w:rPr>
        <w:t>yüzde ellidir.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lastRenderedPageBreak/>
        <w:t>(4) B</w:t>
      </w:r>
      <w:r w:rsidRPr="00CF2D7A">
        <w:rPr>
          <w:rFonts w:ascii="Times New Roman" w:hAnsi="Times New Roman" w:cs="Times New Roman"/>
          <w:bCs/>
          <w:sz w:val="20"/>
          <w:szCs w:val="20"/>
        </w:rPr>
        <w:t>u maddenin uygulamasında yatırıma katkı tutarı, indirimli gelir veya kurumlar vergisi uygulanmak suretiyle tahsilinden vazgeçilen vergi yoluyla yatırımların Devletçe karşılanacak tutarını, bu tutarın yapılan toplam yatırıma bölünmesi suretiyle bulunacak oran ise yatırıma katkı oranını ifade eder.</w:t>
      </w: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Style w:val="Normal1"/>
          <w:rFonts w:eastAsiaTheme="minorHAnsi"/>
          <w:sz w:val="20"/>
          <w:szCs w:val="20"/>
        </w:rPr>
        <w:t xml:space="preserve">(5) Bu maddeye göre hesaplanacak yatırıma katkı tutarına mahsuben, </w:t>
      </w:r>
      <w:r w:rsidRPr="00CF2D7A">
        <w:rPr>
          <w:rFonts w:ascii="Times New Roman" w:hAnsi="Times New Roman" w:cs="Times New Roman"/>
          <w:sz w:val="20"/>
          <w:szCs w:val="20"/>
        </w:rPr>
        <w:t>gerçekleştirilen yatırım harcaması tutarını aşmamak ve toplam yatırıma katkı tutarının;</w:t>
      </w:r>
    </w:p>
    <w:p w:rsidR="00CF2D7A" w:rsidRPr="00CF2D7A" w:rsidRDefault="00CF2D7A" w:rsidP="00CF2D7A">
      <w:pPr>
        <w:tabs>
          <w:tab w:val="left" w:pos="566"/>
        </w:tabs>
        <w:spacing w:line="240" w:lineRule="exact"/>
        <w:ind w:firstLine="567"/>
        <w:jc w:val="both"/>
        <w:rPr>
          <w:rStyle w:val="Normal1"/>
          <w:rFonts w:eastAsiaTheme="minorHAnsi"/>
          <w:sz w:val="20"/>
          <w:szCs w:val="20"/>
          <w:lang w:val="tr-TR"/>
        </w:rPr>
      </w:pPr>
      <w:r w:rsidRPr="00CF2D7A">
        <w:rPr>
          <w:rFonts w:ascii="Times New Roman" w:hAnsi="Times New Roman" w:cs="Times New Roman"/>
          <w:sz w:val="20"/>
          <w:szCs w:val="20"/>
        </w:rPr>
        <w:t>a)</w:t>
      </w:r>
      <w:r w:rsidRPr="00CF2D7A">
        <w:rPr>
          <w:rStyle w:val="Normal1"/>
          <w:rFonts w:eastAsiaTheme="minorHAnsi"/>
          <w:sz w:val="20"/>
          <w:szCs w:val="20"/>
        </w:rPr>
        <w:t xml:space="preserve"> Büyük ölçekli yatırımlar ve bölgesel teşvik uygulamaları kapsamındaki yatırımlarda; 2 nci bölgede yüzde onunu, 3 üncü bölgede yüzde yirmisini, 4 üncü bölgede yüzde otuzunu, 5 inci bölgede yüzde ellisini ve 6 ncı bölgede yüzde seksenini,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b) Stratejik yatırımlarda</w:t>
      </w:r>
      <w:proofErr w:type="gramStart"/>
      <w:r w:rsidRPr="00CF2D7A">
        <w:rPr>
          <w:rStyle w:val="Normal1"/>
          <w:rFonts w:eastAsiaTheme="minorHAnsi"/>
          <w:sz w:val="20"/>
          <w:szCs w:val="20"/>
        </w:rPr>
        <w:t>;  6</w:t>
      </w:r>
      <w:proofErr w:type="gramEnd"/>
      <w:r w:rsidRPr="00CF2D7A">
        <w:rPr>
          <w:rStyle w:val="Normal1"/>
          <w:rFonts w:eastAsiaTheme="minorHAnsi"/>
          <w:sz w:val="20"/>
          <w:szCs w:val="20"/>
        </w:rPr>
        <w:t xml:space="preserve"> ncı bölgede yüzde seksenini, diğer bölgelerde yüzde ellisini,</w:t>
      </w:r>
    </w:p>
    <w:p w:rsidR="00CF2D7A" w:rsidRPr="00CF2D7A" w:rsidRDefault="00CF2D7A" w:rsidP="00CF2D7A">
      <w:pPr>
        <w:tabs>
          <w:tab w:val="left" w:pos="566"/>
        </w:tabs>
        <w:spacing w:line="240" w:lineRule="exact"/>
        <w:ind w:firstLine="567"/>
        <w:jc w:val="both"/>
        <w:rPr>
          <w:rStyle w:val="Normal1"/>
          <w:rFonts w:eastAsiaTheme="minorHAnsi"/>
          <w:color w:val="FF0000"/>
          <w:sz w:val="20"/>
          <w:szCs w:val="20"/>
        </w:rPr>
      </w:pPr>
      <w:proofErr w:type="gramStart"/>
      <w:r w:rsidRPr="00CF2D7A">
        <w:rPr>
          <w:rStyle w:val="Normal1"/>
          <w:rFonts w:eastAsiaTheme="minorHAnsi"/>
          <w:sz w:val="20"/>
          <w:szCs w:val="20"/>
        </w:rPr>
        <w:t>geçmemek</w:t>
      </w:r>
      <w:proofErr w:type="gramEnd"/>
      <w:r w:rsidRPr="00CF2D7A">
        <w:rPr>
          <w:rStyle w:val="Normal1"/>
          <w:rFonts w:eastAsiaTheme="minorHAnsi"/>
          <w:sz w:val="20"/>
          <w:szCs w:val="20"/>
        </w:rPr>
        <w:t xml:space="preserve"> üzere yatırım döneminde yatırımcının diğer faaliyetlerinden elde edilen kazançlarına indirimli gelir veya kurumlar vergisi uygulanabilir.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(6) Arazi, arsa, royalti, yedek parça ve amortismana tâbi olmayan diğer harcamalar ile 5520 sayılı Kanun gereği finans ve sigortacılık konularında faaliyet gösteren kurumlar, iş ortaklıkları, 4283 sayılı Yap-İşlet Modeli ile Elektrik Enerjisi Üretim Tesislerinin Kurulması ve İşletilmesi ile Enerji Satışının Düzenlenmesi Hakkında Kanun ve 3996 sayılı Bazı Yatırım ve Hizmetlerin Yap-İşlet-Devret Modeli Çerçevesinde Yaptırılması Hakkında Kanun kapsamında gerçekleştirilen yatırımlar ve rödovans sözleşmesine bağlı olarak yapılan yatırımlar vergi indirimi desteğinden yararlanamaz.</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(7) İndirimli oranlar stopaj suretiyle yapılan vergilendirmede uygulanmaz.</w:t>
      </w: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Yatırım yeri tahsisi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b/>
          <w:sz w:val="20"/>
          <w:szCs w:val="20"/>
        </w:rPr>
        <w:t>MADDE 16 - (</w:t>
      </w:r>
      <w:r w:rsidRPr="00CF2D7A">
        <w:rPr>
          <w:rStyle w:val="Normal1"/>
          <w:rFonts w:eastAsiaTheme="minorHAnsi"/>
          <w:sz w:val="20"/>
          <w:szCs w:val="20"/>
        </w:rPr>
        <w:t>1) Bakanlıkça teşvik belgesi düzenlenmiş büyük ölçekli yatırımlar, stratejik yatırımlar ve bölgesel desteklerden yararlanacak yatırımlar için, 29/6/2001 tarihli ve 4706 sayılı Kanunun ek 3 üncü maddesi çerçevesinde Maliye Bakanlığınca belirlenen usul ve esaslara göre yatırım yeri tahsis edilebilir.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(2) 15 inci maddenin altıncı fıkrasında belirtilen yatırımlara yatırım yeri tahsis edilmez.</w:t>
      </w: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Öncelikli yatırım konuları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b/>
          <w:sz w:val="20"/>
          <w:szCs w:val="20"/>
        </w:rPr>
        <w:t>MADDE 17 - (</w:t>
      </w:r>
      <w:r w:rsidRPr="00CF2D7A">
        <w:rPr>
          <w:rStyle w:val="Normal1"/>
          <w:rFonts w:eastAsiaTheme="minorHAnsi"/>
          <w:sz w:val="20"/>
          <w:szCs w:val="20"/>
        </w:rPr>
        <w:t>1) Aşağıda belirtilen yatırım konuları 5 inci bölgede uygulanan bölgesel desteklerden faydalanabilir.</w:t>
      </w:r>
      <w:proofErr w:type="gramEnd"/>
      <w:r w:rsidRPr="00CF2D7A">
        <w:rPr>
          <w:rStyle w:val="Normal1"/>
          <w:rFonts w:eastAsiaTheme="minorHAnsi"/>
          <w:sz w:val="20"/>
          <w:szCs w:val="20"/>
        </w:rPr>
        <w:t xml:space="preserve"> </w:t>
      </w:r>
      <w:proofErr w:type="gramStart"/>
      <w:r w:rsidRPr="00CF2D7A">
        <w:rPr>
          <w:rStyle w:val="Normal1"/>
          <w:rFonts w:eastAsiaTheme="minorHAnsi"/>
          <w:sz w:val="20"/>
          <w:szCs w:val="20"/>
        </w:rPr>
        <w:t>Ancak bu yatırımlar, 6 ncı bölgede yer almaları halinde bulunduğu bölge desteklerine tabidir.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a) Denizyolu ile yük ve/veya yolcu taşımacılığına yönelik yatırımlar.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b) Özel sektör tarafından yapılacak şehirlerarası yük ve/veya yolcu taşımacılığına yönelik demiryolu yatırımları ile şehir içi yük taşımacılığına yönelik demiryolu yatırımları.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c) Test merkezleri, rüzgar tüneli ve bu mahiyetteki yatırımlar (otomotiv, uzay veya savunma sanayine yönelik olanlar).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ç) Kültür ve Turizm Koruma ve Gelişim Bölgelerinde yapılacak turizm yatırımlarından bölgesel desteklerden yararlanabilecek nitelikteki turizm konaklama yatırımları.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d) Asgari ellibin metrekare kapalı </w:t>
      </w:r>
      <w:proofErr w:type="gramStart"/>
      <w:r w:rsidRPr="00CF2D7A">
        <w:rPr>
          <w:rStyle w:val="Normal1"/>
          <w:rFonts w:eastAsiaTheme="minorHAnsi"/>
          <w:sz w:val="20"/>
          <w:szCs w:val="20"/>
        </w:rPr>
        <w:t>alana</w:t>
      </w:r>
      <w:proofErr w:type="gramEnd"/>
      <w:r w:rsidRPr="00CF2D7A">
        <w:rPr>
          <w:rStyle w:val="Normal1"/>
          <w:rFonts w:eastAsiaTheme="minorHAnsi"/>
          <w:sz w:val="20"/>
          <w:szCs w:val="20"/>
        </w:rPr>
        <w:t xml:space="preserve"> sahip uluslararası fuar yatırımları (konaklama ve alışveriş merkezi üniteleri hariç).</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e) Sağlık Bakanlığından alınacak proje onayına istinaden gerçekleştirilecek asgari yirmimilyon Türk Lirası tutarındaki biyoteknolojik ilaç, onkoloji ilaçları ve </w:t>
      </w:r>
      <w:proofErr w:type="gramStart"/>
      <w:r w:rsidRPr="00CF2D7A">
        <w:rPr>
          <w:rStyle w:val="Normal1"/>
          <w:rFonts w:eastAsiaTheme="minorHAnsi"/>
          <w:sz w:val="20"/>
          <w:szCs w:val="20"/>
        </w:rPr>
        <w:t>kan</w:t>
      </w:r>
      <w:proofErr w:type="gramEnd"/>
      <w:r w:rsidRPr="00CF2D7A">
        <w:rPr>
          <w:rStyle w:val="Normal1"/>
          <w:rFonts w:eastAsiaTheme="minorHAnsi"/>
          <w:sz w:val="20"/>
          <w:szCs w:val="20"/>
        </w:rPr>
        <w:t xml:space="preserve"> ürünleri üretimine yönelik yatırımlar.</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sz w:val="20"/>
          <w:szCs w:val="20"/>
        </w:rPr>
        <w:t>f) Savunma Sanayii Müsteşarlığından alınacak proje onayına istinaden gerçekleştirilecek asgari yirmimilyon Türk Lirası tutarındaki savunma, havacılık ve uzay alanındaki yatırımlar.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g) Maden istihraç yatırımları ve/veya maden işleme yatırımları (4/6/1985 tarihli ve 3213 sayılı Maden Kanununda tanımlanan I. grup madenler ve mıcır yatırımları ile İstanbul ilinde gerçekleştirilecek istihraç ve/veya işleme yatırımları hariç).</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lastRenderedPageBreak/>
        <w:t>ğ) Özel sektör tarafından gerçekleştirilecek olan ilk, orta ve lise eğitim yatırımları.</w:t>
      </w: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h) Bilim, Sanayi ve Teknoloji Bakanlığı tarafından desteklenen AR-GE projeleri neticesinde geliştirilen ürünlerin üretimine yönelik yatırımlar.</w:t>
      </w:r>
    </w:p>
    <w:p w:rsidR="00CF2D7A" w:rsidRPr="00CF2D7A" w:rsidRDefault="00CF2D7A" w:rsidP="00CF2D7A">
      <w:pPr>
        <w:tabs>
          <w:tab w:val="left" w:pos="566"/>
        </w:tabs>
        <w:spacing w:line="240" w:lineRule="exact"/>
        <w:ind w:firstLine="567"/>
        <w:jc w:val="both"/>
        <w:rPr>
          <w:rFonts w:ascii="Times New Roman" w:hAnsi="Times New Roman" w:cs="Times New Roman"/>
          <w:b/>
          <w:sz w:val="20"/>
          <w:szCs w:val="20"/>
        </w:rPr>
      </w:pPr>
      <w:r w:rsidRPr="00CF2D7A">
        <w:rPr>
          <w:rFonts w:ascii="Times New Roman" w:hAnsi="Times New Roman" w:cs="Times New Roman"/>
          <w:b/>
          <w:sz w:val="20"/>
          <w:szCs w:val="20"/>
        </w:rPr>
        <w:t>Bir alt bölge desteğinden yararlanacak yatırımlar</w:t>
      </w: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Fonts w:ascii="Times New Roman" w:hAnsi="Times New Roman" w:cs="Times New Roman"/>
          <w:b/>
          <w:sz w:val="20"/>
          <w:szCs w:val="20"/>
        </w:rPr>
        <w:t>MADDE 18</w:t>
      </w:r>
      <w:r w:rsidRPr="00CF2D7A">
        <w:rPr>
          <w:rFonts w:ascii="Times New Roman" w:hAnsi="Times New Roman" w:cs="Times New Roman"/>
          <w:sz w:val="20"/>
          <w:szCs w:val="20"/>
        </w:rPr>
        <w:t xml:space="preserve"> - (1) Büyük ölçekli yatırımlar veya bölgesel teşvik uygulamaları kapsamında teşvik belgesi düzenlenen yatırımlar, aşağıda belirtilen koşullardan en az birini sağlamaları halinde vergi indirimi ve sigorta primi işveren hissesi desteği açısından bulundukları bölgenin bir alt bölgesinde sağlanan oran ve sürelerde bu desteklerden yararlanabilir.</w:t>
      </w: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a) Yatırımın organize sanayi bölgesinde (OSB) gerçekleştirilmesi.</w:t>
      </w: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 xml:space="preserve">b) Yatırımın, aynı sektörde faaliyet gösteren en az beş gerçek veya tüzel kişinin ortağı olduğu yatırımcı tarafından gerçekleştirilmesi ve ortak faaliyet gösterilen alanda </w:t>
      </w:r>
      <w:proofErr w:type="gramStart"/>
      <w:r w:rsidRPr="00CF2D7A">
        <w:rPr>
          <w:rFonts w:ascii="Times New Roman" w:hAnsi="Times New Roman" w:cs="Times New Roman"/>
          <w:sz w:val="20"/>
          <w:szCs w:val="20"/>
        </w:rPr>
        <w:t>entegrasyonu</w:t>
      </w:r>
      <w:proofErr w:type="gramEnd"/>
      <w:r w:rsidRPr="00CF2D7A">
        <w:rPr>
          <w:rFonts w:ascii="Times New Roman" w:hAnsi="Times New Roman" w:cs="Times New Roman"/>
          <w:sz w:val="20"/>
          <w:szCs w:val="20"/>
        </w:rPr>
        <w:t xml:space="preserve"> sağlayacak bir yatırım olması.</w:t>
      </w:r>
    </w:p>
    <w:p w:rsidR="00CF2D7A" w:rsidRPr="00CF2D7A" w:rsidRDefault="00CF2D7A" w:rsidP="00CF2D7A">
      <w:pPr>
        <w:tabs>
          <w:tab w:val="left" w:pos="566"/>
        </w:tabs>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(2) Bu madde kapsamında 6 ncı bölgede gerçekleştirilecek büyük ölçekli ve bölgesel teşvik uygulamaları kapsamındaki yatırımlar için sigorta primi işveren hissesi desteği, bölgede geçerli olan süreye iki yıl ilave edilmek, vergi indirimi desteği ise bölgede geçerli olan yatırıma katkı oranına beş puan ilave edilmek suretiyle uygulanır.</w:t>
      </w:r>
    </w:p>
    <w:p w:rsidR="00CF2D7A" w:rsidRPr="00CF2D7A" w:rsidRDefault="00CF2D7A" w:rsidP="00CF2D7A">
      <w:pPr>
        <w:tabs>
          <w:tab w:val="left" w:pos="566"/>
        </w:tabs>
        <w:spacing w:line="240" w:lineRule="exact"/>
        <w:ind w:firstLine="567"/>
        <w:jc w:val="both"/>
        <w:rPr>
          <w:rStyle w:val="Normal1"/>
          <w:rFonts w:eastAsiaTheme="minorHAnsi"/>
          <w:b/>
          <w:sz w:val="20"/>
          <w:szCs w:val="20"/>
          <w:lang w:val="tr-TR"/>
        </w:rPr>
      </w:pPr>
      <w:r w:rsidRPr="00CF2D7A">
        <w:rPr>
          <w:rStyle w:val="Normal1"/>
          <w:rFonts w:eastAsiaTheme="minorHAnsi"/>
          <w:b/>
          <w:sz w:val="20"/>
          <w:szCs w:val="20"/>
        </w:rPr>
        <w:t>AR-GE ve çevre yatırımları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b/>
          <w:sz w:val="20"/>
          <w:szCs w:val="20"/>
        </w:rPr>
        <w:t>MADDE 19 - (</w:t>
      </w:r>
      <w:r w:rsidRPr="00CF2D7A">
        <w:rPr>
          <w:rStyle w:val="Normal1"/>
          <w:rFonts w:eastAsiaTheme="minorHAnsi"/>
          <w:sz w:val="20"/>
          <w:szCs w:val="20"/>
        </w:rPr>
        <w:t>1) AR-GE ve çevre yatırımları; KDV istisnası, gümrük vergisi muafiyeti ve faiz desteğinden yararlandırılır.</w:t>
      </w:r>
      <w:proofErr w:type="gramEnd"/>
      <w:r w:rsidRPr="00CF2D7A">
        <w:rPr>
          <w:rStyle w:val="Normal1"/>
          <w:rFonts w:eastAsiaTheme="minorHAnsi"/>
          <w:sz w:val="20"/>
          <w:szCs w:val="20"/>
        </w:rPr>
        <w:t xml:space="preserve"> </w:t>
      </w:r>
      <w:proofErr w:type="gramStart"/>
      <w:r w:rsidRPr="00CF2D7A">
        <w:rPr>
          <w:rStyle w:val="Normal1"/>
          <w:rFonts w:eastAsiaTheme="minorHAnsi"/>
          <w:sz w:val="20"/>
          <w:szCs w:val="20"/>
        </w:rPr>
        <w:t>Söz konusu yatırımlar, 6 ncı bölgede gerçekleştirilmesi halinde gelir vergisi stopajı ve sigorta primi desteğinden de yararlanabilir.</w:t>
      </w:r>
      <w:proofErr w:type="gramEnd"/>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Yerel birimlerce yapılacak işlemler</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b/>
          <w:sz w:val="20"/>
          <w:szCs w:val="20"/>
        </w:rPr>
        <w:t>MADDE 20 - (</w:t>
      </w:r>
      <w:r w:rsidRPr="00CF2D7A">
        <w:rPr>
          <w:rStyle w:val="Normal1"/>
          <w:rFonts w:eastAsiaTheme="minorHAnsi"/>
          <w:sz w:val="20"/>
          <w:szCs w:val="20"/>
        </w:rPr>
        <w:t>1) Yerel birimlere yapılan teşvik belgesi müracaatlarından uygun görülenler için yerel birim tarafından teşvik belgesi hazırlanır ve değerlendirilmek üzere Bakanlığa iletilir.</w:t>
      </w:r>
      <w:proofErr w:type="gramEnd"/>
      <w:r w:rsidRPr="00CF2D7A">
        <w:rPr>
          <w:rStyle w:val="Normal1"/>
          <w:rFonts w:eastAsiaTheme="minorHAnsi"/>
          <w:sz w:val="20"/>
          <w:szCs w:val="20"/>
        </w:rPr>
        <w:t xml:space="preserve"> </w:t>
      </w:r>
      <w:proofErr w:type="gramStart"/>
      <w:r w:rsidRPr="00CF2D7A">
        <w:rPr>
          <w:rStyle w:val="Normal1"/>
          <w:rFonts w:eastAsiaTheme="minorHAnsi"/>
          <w:sz w:val="20"/>
          <w:szCs w:val="20"/>
        </w:rPr>
        <w:t>Bakanlıkça uygun görülen teşvik belgeleri onaylanarak ilgili yerel birimlere gönderilir.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(2) 9 uncu maddenin üçüncü fıkrasının (b) bendi ile 22 nci ve 23 üncü maddeleri dışındaki işlemler, teşvik belgesini düzenleyen ilgili yerel birimlerce sonuçlandırılır.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(3) Tamamlama vizesi yapılacak yatırımlarla ilgili olarak yerel birimler, söz konusu yatırımların gerçekleşmelerini tespit ederek tebliğle belirlenecek formatta Bakanlığa bildirir. </w:t>
      </w:r>
      <w:proofErr w:type="gramStart"/>
      <w:r w:rsidRPr="00CF2D7A">
        <w:rPr>
          <w:rStyle w:val="Normal1"/>
          <w:rFonts w:eastAsiaTheme="minorHAnsi"/>
          <w:sz w:val="20"/>
          <w:szCs w:val="20"/>
        </w:rPr>
        <w:t>Bakanlığın uygun görüşü alınmadan tamamlama vizesi işlemleri tekemmül etmiş sayılmaz.</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(4) Yerel birimler, teşvik belgeleri ile ilgili yapılacak işlemleri kadrolarında tam süreli olarak çalışan teknik/uzman personel aracılığıyla yürütmek zorundadırlar.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(5) Bu Karar hükümlerine aykırı davrandığı tespit edilen yerel birimlerin yetkilerine Bakanlıkça son verilir ve gerekli tedbirleri alıncaya </w:t>
      </w:r>
      <w:proofErr w:type="gramStart"/>
      <w:r w:rsidRPr="00CF2D7A">
        <w:rPr>
          <w:rStyle w:val="Normal1"/>
          <w:rFonts w:eastAsiaTheme="minorHAnsi"/>
          <w:sz w:val="20"/>
          <w:szCs w:val="20"/>
        </w:rPr>
        <w:t>kadar</w:t>
      </w:r>
      <w:proofErr w:type="gramEnd"/>
      <w:r w:rsidRPr="00CF2D7A">
        <w:rPr>
          <w:rStyle w:val="Normal1"/>
          <w:rFonts w:eastAsiaTheme="minorHAnsi"/>
          <w:sz w:val="20"/>
          <w:szCs w:val="20"/>
        </w:rPr>
        <w:t xml:space="preserve"> yeni görev verilmez.</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(6) Kalkınma Ajansları, Bakanlıkça düzenlenen teşvik belgeleri kapsamındaki yatırımların gerçekleşmelerini izleyerek gerçekleşme durumlarını altışar aylık dönemler halinde Bakanlığa bildirirler.</w:t>
      </w: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Bütçeden yapılacak ödemeler</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b/>
          <w:sz w:val="20"/>
          <w:szCs w:val="20"/>
        </w:rPr>
        <w:t>MADDE 21 - (</w:t>
      </w:r>
      <w:r w:rsidRPr="00CF2D7A">
        <w:rPr>
          <w:rStyle w:val="Normal1"/>
          <w:rFonts w:eastAsiaTheme="minorHAnsi"/>
          <w:sz w:val="20"/>
          <w:szCs w:val="20"/>
        </w:rPr>
        <w:t>1) Yatırımların desteklenmesi için her yıl bütçe kanunu ile ayrılan ödenek çerçevesinde ilgili mevzuatında öngörülen usul ve esaslar uyarınca aşağıda belirtilen ödemeler yapılabilir.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sz w:val="20"/>
          <w:szCs w:val="20"/>
        </w:rPr>
        <w:t>a) Bu Karar uyarınca yapılacak ödemeler.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b) Önceki dönemlere ait ilgili Bakanlar Kurulu Kararları uyarınca ödenmesi gereken yatırım ve işletme kredilerine ait bakiye tutarlar.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lastRenderedPageBreak/>
        <w:t>c) Yatırımlarda devlet yardımları ile ilgili olarak daha önceki kararlarda belirtilen hükümler çerçevesinde ödenmesi gereken destek unsurlarına ait tutarlar.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ç) Teşvik belgesi müracaatı ve zayi olan belgelerle ilgili olarak yatırılan tutarlardan sehven veya fazla yatırılması nedeniyle iade edilmesi gereken tutarlar.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d) Yatırımlarda devlet yardımları ile ilgili olarak açılmış davaların aleyhte sonuçlanması nedeniyle ödenmesi gereken tutarlar ile yargılama ve cebri icra giderleri.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(2) Bakanlıkça yapılacak ödemeler, Türkiye Cumhuriyet Merkez Bankası aracılığıyla gerçekleştirilir.</w:t>
      </w:r>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t>Devir, satış, ihraç ve kiralama</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b/>
          <w:sz w:val="20"/>
          <w:szCs w:val="20"/>
        </w:rPr>
        <w:t>MADDE 22 - (</w:t>
      </w:r>
      <w:r w:rsidRPr="00CF2D7A">
        <w:rPr>
          <w:rStyle w:val="Normal1"/>
          <w:rFonts w:eastAsiaTheme="minorHAnsi"/>
          <w:sz w:val="20"/>
          <w:szCs w:val="20"/>
        </w:rPr>
        <w:t xml:space="preserve">1) Yatırım tamamlama vizesi yapılmış teşvik belgesi kapsamındaki makine ve teçhizatın devir, satış, ihraç veya kiralanması, söz konusu yatırım mallarının teminini müteakip </w:t>
      </w:r>
      <w:proofErr w:type="gramStart"/>
      <w:r w:rsidRPr="00CF2D7A">
        <w:rPr>
          <w:rStyle w:val="Normal1"/>
          <w:rFonts w:eastAsiaTheme="minorHAnsi"/>
          <w:sz w:val="20"/>
          <w:szCs w:val="20"/>
        </w:rPr>
        <w:t>beş</w:t>
      </w:r>
      <w:proofErr w:type="gramEnd"/>
      <w:r w:rsidRPr="00CF2D7A">
        <w:rPr>
          <w:rStyle w:val="Normal1"/>
          <w:rFonts w:eastAsiaTheme="minorHAnsi"/>
          <w:sz w:val="20"/>
          <w:szCs w:val="20"/>
        </w:rPr>
        <w:t xml:space="preserve"> yılı doldurmuş olmaları halinde serbesttir.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(2) Teşvik belgesi kapsamındaki yatırımını tamamlamış ancak tamamlama vizesi yapılmamış yatırımlarla ilgili makine ve teçhizatın, teminini müteakip </w:t>
      </w:r>
      <w:proofErr w:type="gramStart"/>
      <w:r w:rsidRPr="00CF2D7A">
        <w:rPr>
          <w:rStyle w:val="Normal1"/>
          <w:rFonts w:eastAsiaTheme="minorHAnsi"/>
          <w:sz w:val="20"/>
          <w:szCs w:val="20"/>
        </w:rPr>
        <w:t>beş</w:t>
      </w:r>
      <w:proofErr w:type="gramEnd"/>
      <w:r w:rsidRPr="00CF2D7A">
        <w:rPr>
          <w:rStyle w:val="Normal1"/>
          <w:rFonts w:eastAsiaTheme="minorHAnsi"/>
          <w:sz w:val="20"/>
          <w:szCs w:val="20"/>
        </w:rPr>
        <w:t xml:space="preserve"> yıl geçtikten sonra satışının yapılmış olması ve işletmenin asgari beş yıl süreyle faaliyette bulunmuş olması şartıyla, Bakanlıkça herhangi bir müeyyide uygulanmaksızın tamamlama vizesi yapılabilir.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(3) Tamamlama vizesi yapılıp yapılmadığına bakılmaksızın </w:t>
      </w:r>
      <w:proofErr w:type="gramStart"/>
      <w:r w:rsidRPr="00CF2D7A">
        <w:rPr>
          <w:rStyle w:val="Normal1"/>
          <w:rFonts w:eastAsiaTheme="minorHAnsi"/>
          <w:sz w:val="20"/>
          <w:szCs w:val="20"/>
        </w:rPr>
        <w:t>beş</w:t>
      </w:r>
      <w:proofErr w:type="gramEnd"/>
      <w:r w:rsidRPr="00CF2D7A">
        <w:rPr>
          <w:rStyle w:val="Normal1"/>
          <w:rFonts w:eastAsiaTheme="minorHAnsi"/>
          <w:sz w:val="20"/>
          <w:szCs w:val="20"/>
        </w:rPr>
        <w:t xml:space="preserve"> yılını doldurmamış makine ve teçhizatın yatırımın bütünlüğünün bozulmaması kaydıyla veya bütünü ile birlikte;</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a) Teşvik belgeli bir başka yatırım için devri,</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b) Teşvik belgesi olmayan bir başka yatırımcıya satışı,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c) İhracı,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ç) Kiralanması,</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sz w:val="20"/>
          <w:szCs w:val="20"/>
        </w:rPr>
        <w:t>Bakanlığın iznine tabidir.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(4) Tamamlama vizesi yapılmamış veya tamamlama vizesi yapılmış olmakla birlikte </w:t>
      </w:r>
      <w:proofErr w:type="gramStart"/>
      <w:r w:rsidRPr="00CF2D7A">
        <w:rPr>
          <w:rStyle w:val="Normal1"/>
          <w:rFonts w:eastAsiaTheme="minorHAnsi"/>
          <w:sz w:val="20"/>
          <w:szCs w:val="20"/>
        </w:rPr>
        <w:t>beş</w:t>
      </w:r>
      <w:proofErr w:type="gramEnd"/>
      <w:r w:rsidRPr="00CF2D7A">
        <w:rPr>
          <w:rStyle w:val="Normal1"/>
          <w:rFonts w:eastAsiaTheme="minorHAnsi"/>
          <w:sz w:val="20"/>
          <w:szCs w:val="20"/>
        </w:rPr>
        <w:t xml:space="preserve"> yılını doldurmamış makine ve teçhizata satış izni verilebilmesi için yatırımın bütünlüğünün bozulmaması şartı aranır. </w:t>
      </w:r>
      <w:proofErr w:type="gramStart"/>
      <w:r w:rsidRPr="00CF2D7A">
        <w:rPr>
          <w:rStyle w:val="Normal1"/>
          <w:rFonts w:eastAsiaTheme="minorHAnsi"/>
          <w:sz w:val="20"/>
          <w:szCs w:val="20"/>
        </w:rPr>
        <w:t>Bu tür durumlarda satış izni verilen makine ve teçhizata uygulanan destekler geri alınmaz.</w:t>
      </w:r>
      <w:proofErr w:type="gramEnd"/>
      <w:r w:rsidRPr="00CF2D7A">
        <w:rPr>
          <w:rStyle w:val="Normal1"/>
          <w:rFonts w:eastAsiaTheme="minorHAnsi"/>
          <w:sz w:val="20"/>
          <w:szCs w:val="20"/>
        </w:rPr>
        <w:t xml:space="preserve"> </w:t>
      </w:r>
      <w:proofErr w:type="gramStart"/>
      <w:r w:rsidRPr="00CF2D7A">
        <w:rPr>
          <w:rStyle w:val="Normal1"/>
          <w:rFonts w:eastAsiaTheme="minorHAnsi"/>
          <w:sz w:val="20"/>
          <w:szCs w:val="20"/>
        </w:rPr>
        <w:t>Ancak, yatırımcının teşvik belgesinin satış iznini müteakip diğer nedenlerle iptali hâlinde izin verilen makine ve teçhizata uygulanan destekler de ilgili mevzuat çerçevesinde kısmen veya tamamen geri alınır.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(5) Beş yıllık süreyi doldurmamış makine ve teçhizatın tamamlama vizesinin yapılıp yapılmadığına bakılmaksızın izinsiz satılması veya satılmasına sebebiyet verilmesi halinde konu hakkında en kısa sürede Bakanlığa bilgi verilir. </w:t>
      </w:r>
      <w:proofErr w:type="gramStart"/>
      <w:r w:rsidRPr="00CF2D7A">
        <w:rPr>
          <w:rStyle w:val="Normal1"/>
          <w:rFonts w:eastAsiaTheme="minorHAnsi"/>
          <w:sz w:val="20"/>
          <w:szCs w:val="20"/>
        </w:rPr>
        <w:t>Bu durumda, satışı yapılan makine ve teçhizat ile ilgili tahsil edilmeyen gümrük vergisi ve KDV ile varsa indirimli kurumlar vergisi veya gelir vergisi uygulanmak suretiyle yararlanılan destekler ilgili mevzuat çerçevesinde geri alınır.</w:t>
      </w:r>
      <w:proofErr w:type="gramEnd"/>
      <w:r w:rsidRPr="00CF2D7A">
        <w:rPr>
          <w:rStyle w:val="Normal1"/>
          <w:rFonts w:eastAsiaTheme="minorHAnsi"/>
          <w:sz w:val="20"/>
          <w:szCs w:val="20"/>
        </w:rPr>
        <w:t xml:space="preserve"> Satış dolayısıyla yatırım tutarında meydana gelen azalma nedeniyle kullanılabilecek azamî kredi tutarında azalma oluşması durumunda fazladan kullanılan krediye tekabül </w:t>
      </w:r>
      <w:proofErr w:type="gramStart"/>
      <w:r w:rsidRPr="00CF2D7A">
        <w:rPr>
          <w:rStyle w:val="Normal1"/>
          <w:rFonts w:eastAsiaTheme="minorHAnsi"/>
          <w:sz w:val="20"/>
          <w:szCs w:val="20"/>
        </w:rPr>
        <w:t>eden</w:t>
      </w:r>
      <w:proofErr w:type="gramEnd"/>
      <w:r w:rsidRPr="00CF2D7A">
        <w:rPr>
          <w:rStyle w:val="Normal1"/>
          <w:rFonts w:eastAsiaTheme="minorHAnsi"/>
          <w:sz w:val="20"/>
          <w:szCs w:val="20"/>
        </w:rPr>
        <w:t xml:space="preserve"> faiz desteği 11 inci madde çerçevesinde, tahsil edilmeyen Kaynak Kullanımını Destekleme Fonu kesintisi ise ilgili mevzuat çerçevesinde geri alınır.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(6) Teşvik belgesi kapsamında </w:t>
      </w:r>
      <w:proofErr w:type="gramStart"/>
      <w:r w:rsidRPr="00CF2D7A">
        <w:rPr>
          <w:rStyle w:val="Normal1"/>
          <w:rFonts w:eastAsiaTheme="minorHAnsi"/>
          <w:sz w:val="20"/>
          <w:szCs w:val="20"/>
        </w:rPr>
        <w:t>temin</w:t>
      </w:r>
      <w:proofErr w:type="gramEnd"/>
      <w:r w:rsidRPr="00CF2D7A">
        <w:rPr>
          <w:rStyle w:val="Normal1"/>
          <w:rFonts w:eastAsiaTheme="minorHAnsi"/>
          <w:sz w:val="20"/>
          <w:szCs w:val="20"/>
        </w:rPr>
        <w:t xml:space="preserve"> edilen makine ve teçhizatın, üretilecek mal veya hizmetlerin teşvik belgesi sahibi yatırımcı tarafından satın alınması koşuluyla diğer bir yatırımcıya herhangi bir ücret alınmaksızın geçici olarak verilmesi veya kiralanması Bakanlığın iznine tabidir.</w:t>
      </w:r>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(7) Teşvik belgesine konu yatırımlardan tamamlama vizesi ve belgede kayıtlı özel şartların vizesi yapılabilecek durumda olanlar için, yatırımcıların cebrî icra takiplerine konu olması veya iflas masasına girmesi durumunda; yatırımcı, icra organı veya iflas organı tarafından icra ile satışın veya iflasın kesinleşme tarihinden önce talep edilmesi hâlinde, Bakanlıkça teşvik belgesinin tamamlama vizesi yapılabilir. </w:t>
      </w:r>
      <w:proofErr w:type="gramStart"/>
      <w:r w:rsidRPr="00CF2D7A">
        <w:rPr>
          <w:rStyle w:val="Normal1"/>
          <w:rFonts w:eastAsiaTheme="minorHAnsi"/>
          <w:sz w:val="20"/>
          <w:szCs w:val="20"/>
        </w:rPr>
        <w:t>Ancak, satışın kesinleşmesi hâlinde kesinleşme tarihi itibarıyla varsa satış için gerekli süreleri doldurmamış olan makine ve teçhizata yönelik olarak yararlanılan destekler ilgili mevzuat hükümleri çerçevesinde geri alınır.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lastRenderedPageBreak/>
        <w:t>(8) Yatırımcının ilgili kanun hükümlerine göre tasfiyeye girmesi hâlinde, ilgili tasfiye kurulunun veya organının talebi üzerine yedinci fıkra hükümlerine göre işlem yapılabilir.</w:t>
      </w:r>
    </w:p>
    <w:p w:rsidR="00CF2D7A" w:rsidRPr="00CF2D7A" w:rsidRDefault="00CF2D7A" w:rsidP="00CF2D7A">
      <w:pPr>
        <w:tabs>
          <w:tab w:val="left" w:pos="566"/>
        </w:tabs>
        <w:spacing w:line="240" w:lineRule="exact"/>
        <w:ind w:firstLine="558"/>
        <w:jc w:val="both"/>
        <w:rPr>
          <w:rStyle w:val="Normal1"/>
          <w:rFonts w:eastAsiaTheme="minorHAnsi"/>
          <w:b/>
          <w:sz w:val="20"/>
          <w:szCs w:val="20"/>
        </w:rPr>
      </w:pPr>
      <w:r w:rsidRPr="00CF2D7A">
        <w:rPr>
          <w:rStyle w:val="Normal1"/>
          <w:rFonts w:eastAsiaTheme="minorHAnsi"/>
          <w:b/>
          <w:sz w:val="20"/>
          <w:szCs w:val="20"/>
        </w:rPr>
        <w:t>Yatırımların nakli</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b/>
          <w:sz w:val="20"/>
          <w:szCs w:val="20"/>
        </w:rPr>
        <w:t>MADDE 23 - (</w:t>
      </w:r>
      <w:r w:rsidRPr="00CF2D7A">
        <w:rPr>
          <w:rStyle w:val="Normal1"/>
          <w:rFonts w:eastAsiaTheme="minorHAnsi"/>
          <w:sz w:val="20"/>
          <w:szCs w:val="20"/>
        </w:rPr>
        <w:t xml:space="preserve">1) Büyük ölçekli yatırımlar ile bölgesel teşvik uygulamaları kapsamında gerçekleştirilen yatırımların, işletmeye geçiş tarihinden itibaren asgarî </w:t>
      </w:r>
      <w:proofErr w:type="gramStart"/>
      <w:r w:rsidRPr="00CF2D7A">
        <w:rPr>
          <w:rStyle w:val="Normal1"/>
          <w:rFonts w:eastAsiaTheme="minorHAnsi"/>
          <w:sz w:val="20"/>
          <w:szCs w:val="20"/>
        </w:rPr>
        <w:t>beş</w:t>
      </w:r>
      <w:proofErr w:type="gramEnd"/>
      <w:r w:rsidRPr="00CF2D7A">
        <w:rPr>
          <w:rStyle w:val="Normal1"/>
          <w:rFonts w:eastAsiaTheme="minorHAnsi"/>
          <w:sz w:val="20"/>
          <w:szCs w:val="20"/>
        </w:rPr>
        <w:t xml:space="preserve"> yıl süre ile bulunduğu bölgede faaliyette bulunması gerekir. </w:t>
      </w:r>
      <w:proofErr w:type="gramStart"/>
      <w:r w:rsidRPr="00CF2D7A">
        <w:rPr>
          <w:rStyle w:val="Normal1"/>
          <w:rFonts w:eastAsiaTheme="minorHAnsi"/>
          <w:sz w:val="20"/>
          <w:szCs w:val="20"/>
        </w:rPr>
        <w:t>Ancak, Bakanlıktan izin alınması ve yatırım konusunun taşınılacak bölgede desteklenecek konular arasında yer alması kaydıyla diğer bölgelere taşınılabilir.</w:t>
      </w:r>
      <w:proofErr w:type="gramEnd"/>
      <w:r w:rsidRPr="00CF2D7A">
        <w:rPr>
          <w:rStyle w:val="Normal1"/>
          <w:rFonts w:eastAsiaTheme="minorHAnsi"/>
          <w:sz w:val="20"/>
          <w:szCs w:val="20"/>
        </w:rPr>
        <w:t xml:space="preserve"> Bulunduğu bölgeden daha </w:t>
      </w:r>
      <w:proofErr w:type="gramStart"/>
      <w:r w:rsidRPr="00CF2D7A">
        <w:rPr>
          <w:rStyle w:val="Normal1"/>
          <w:rFonts w:eastAsiaTheme="minorHAnsi"/>
          <w:sz w:val="20"/>
          <w:szCs w:val="20"/>
        </w:rPr>
        <w:t>az</w:t>
      </w:r>
      <w:proofErr w:type="gramEnd"/>
      <w:r w:rsidRPr="00CF2D7A">
        <w:rPr>
          <w:rStyle w:val="Normal1"/>
          <w:rFonts w:eastAsiaTheme="minorHAnsi"/>
          <w:sz w:val="20"/>
          <w:szCs w:val="20"/>
        </w:rPr>
        <w:t xml:space="preserve"> destek alan üst bölgelere, aynı bölgede bulunan OSB’den OSB dışına veya ilgili yatırım konusunun desteklenmediği bölgelere taşınmalarda, taşındığı bölgenin yararlandığı desteği aşan kısım ile taşındığı bölgede bulunmayan destekler ilgili mevzuat çerçevesinde geri alınır. İşletmeye geçiş tarihinden itibaren </w:t>
      </w:r>
      <w:proofErr w:type="gramStart"/>
      <w:r w:rsidRPr="00CF2D7A">
        <w:rPr>
          <w:rStyle w:val="Normal1"/>
          <w:rFonts w:eastAsiaTheme="minorHAnsi"/>
          <w:sz w:val="20"/>
          <w:szCs w:val="20"/>
        </w:rPr>
        <w:t>beş</w:t>
      </w:r>
      <w:proofErr w:type="gramEnd"/>
      <w:r w:rsidRPr="00CF2D7A">
        <w:rPr>
          <w:rStyle w:val="Normal1"/>
          <w:rFonts w:eastAsiaTheme="minorHAnsi"/>
          <w:sz w:val="20"/>
          <w:szCs w:val="20"/>
        </w:rPr>
        <w:t xml:space="preserve"> yıl süre ile bulunduğu bölgede faaliyette bulunan yatırımların diğer bölgelere taşınması serbesttir. </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 xml:space="preserve">(2) Tamamlanmış yatırımlardan </w:t>
      </w:r>
      <w:proofErr w:type="gramStart"/>
      <w:r w:rsidRPr="00CF2D7A">
        <w:rPr>
          <w:rStyle w:val="Normal1"/>
          <w:rFonts w:eastAsiaTheme="minorHAnsi"/>
          <w:sz w:val="20"/>
          <w:szCs w:val="20"/>
        </w:rPr>
        <w:t>beş</w:t>
      </w:r>
      <w:proofErr w:type="gramEnd"/>
      <w:r w:rsidRPr="00CF2D7A">
        <w:rPr>
          <w:rStyle w:val="Normal1"/>
          <w:rFonts w:eastAsiaTheme="minorHAnsi"/>
          <w:sz w:val="20"/>
          <w:szCs w:val="20"/>
        </w:rPr>
        <w:t xml:space="preserve"> yıllık süreyi doldurmuş ancak tamamlama vizesi yapılmamış olanlar, taşınma öncesinde Bakanlığa müracaat ederek tamamlama vizesini yaptırır. </w:t>
      </w:r>
      <w:proofErr w:type="gramStart"/>
      <w:r w:rsidRPr="00CF2D7A">
        <w:rPr>
          <w:rStyle w:val="Normal1"/>
          <w:rFonts w:eastAsiaTheme="minorHAnsi"/>
          <w:sz w:val="20"/>
          <w:szCs w:val="20"/>
        </w:rPr>
        <w:t>Bu kapsamdaki yatırımların yer değişikliği talepleri, taşınma sonrasında da uygun görülebilir.</w:t>
      </w:r>
      <w:proofErr w:type="gramEnd"/>
      <w:r w:rsidRPr="00CF2D7A">
        <w:rPr>
          <w:rStyle w:val="Normal1"/>
          <w:rFonts w:eastAsiaTheme="minorHAnsi"/>
          <w:sz w:val="20"/>
          <w:szCs w:val="20"/>
        </w:rPr>
        <w:t xml:space="preserve">  </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(3) Genel teşvik uygulamasından yararlanan yatırımların yer değişikliği talepleri, yatırım dönemi de dâhil olmak üzere Bakanlıkça değerlendirilerek proje bazında sonuçlandırılır.</w:t>
      </w:r>
    </w:p>
    <w:p w:rsidR="00CF2D7A" w:rsidRPr="00CF2D7A" w:rsidRDefault="00CF2D7A" w:rsidP="00CF2D7A">
      <w:pPr>
        <w:tabs>
          <w:tab w:val="left" w:pos="566"/>
        </w:tabs>
        <w:spacing w:line="240" w:lineRule="exact"/>
        <w:ind w:firstLine="558"/>
        <w:jc w:val="both"/>
        <w:rPr>
          <w:rStyle w:val="Normal1"/>
          <w:rFonts w:eastAsiaTheme="minorHAnsi"/>
          <w:b/>
          <w:sz w:val="20"/>
          <w:szCs w:val="20"/>
        </w:rPr>
      </w:pPr>
      <w:r w:rsidRPr="00CF2D7A">
        <w:rPr>
          <w:rStyle w:val="Normal1"/>
          <w:rFonts w:eastAsiaTheme="minorHAnsi"/>
          <w:b/>
          <w:sz w:val="20"/>
          <w:szCs w:val="20"/>
        </w:rPr>
        <w:t>Yatırım süresi ve tamamlama vizesi</w:t>
      </w:r>
    </w:p>
    <w:p w:rsidR="00CF2D7A" w:rsidRPr="00CF2D7A" w:rsidRDefault="00CF2D7A" w:rsidP="00CF2D7A">
      <w:pPr>
        <w:tabs>
          <w:tab w:val="left" w:pos="566"/>
        </w:tabs>
        <w:spacing w:line="240" w:lineRule="exact"/>
        <w:ind w:firstLine="558"/>
        <w:jc w:val="both"/>
        <w:rPr>
          <w:rFonts w:ascii="Times New Roman" w:hAnsi="Times New Roman" w:cs="Times New Roman"/>
          <w:sz w:val="20"/>
          <w:szCs w:val="20"/>
        </w:rPr>
      </w:pPr>
      <w:proofErr w:type="gramStart"/>
      <w:r w:rsidRPr="00CF2D7A">
        <w:rPr>
          <w:rStyle w:val="Normal1"/>
          <w:rFonts w:eastAsiaTheme="minorHAnsi"/>
          <w:b/>
          <w:sz w:val="20"/>
          <w:szCs w:val="20"/>
        </w:rPr>
        <w:t>MADDE 24 - (</w:t>
      </w:r>
      <w:r w:rsidRPr="00CF2D7A">
        <w:rPr>
          <w:rStyle w:val="Normal1"/>
          <w:rFonts w:eastAsiaTheme="minorHAnsi"/>
          <w:sz w:val="20"/>
          <w:szCs w:val="20"/>
        </w:rPr>
        <w:t xml:space="preserve">1) Yatırımın başlangıç tarihi, </w:t>
      </w:r>
      <w:r w:rsidRPr="00CF2D7A">
        <w:rPr>
          <w:rFonts w:ascii="Times New Roman" w:hAnsi="Times New Roman" w:cs="Times New Roman"/>
          <w:sz w:val="20"/>
          <w:szCs w:val="20"/>
        </w:rPr>
        <w:t>teşvik belgesi için Bakanlığa veya ilgili yerel birime müracaat tarihidir.</w:t>
      </w:r>
      <w:proofErr w:type="gramEnd"/>
      <w:r w:rsidRPr="00CF2D7A">
        <w:rPr>
          <w:rFonts w:ascii="Times New Roman" w:hAnsi="Times New Roman" w:cs="Times New Roman"/>
          <w:sz w:val="20"/>
          <w:szCs w:val="20"/>
        </w:rPr>
        <w:t xml:space="preserve"> Ancak, yatırıma başlanıldığının kabul edilebilmesi için, yatırımın başlangıç tarihinden sonra arazi-arsa, altyapı, bina-inşaat, makine ve teçhizat (avans ve ön ödemeler </w:t>
      </w:r>
      <w:proofErr w:type="gramStart"/>
      <w:r w:rsidRPr="00CF2D7A">
        <w:rPr>
          <w:rFonts w:ascii="Times New Roman" w:hAnsi="Times New Roman" w:cs="Times New Roman"/>
          <w:sz w:val="20"/>
          <w:szCs w:val="20"/>
        </w:rPr>
        <w:t>dahil</w:t>
      </w:r>
      <w:proofErr w:type="gramEnd"/>
      <w:r w:rsidRPr="00CF2D7A">
        <w:rPr>
          <w:rFonts w:ascii="Times New Roman" w:hAnsi="Times New Roman" w:cs="Times New Roman"/>
          <w:sz w:val="20"/>
          <w:szCs w:val="20"/>
        </w:rPr>
        <w:t>) ile diğer yatırım harcamalarına yönelik olarak teşvik belgesinin ilk düzenlendiği tarihteki sabit yatırım tutarı esas alınmak üzere, sabit yatırım tutarının en az yüzde onu oranında (sabit yatırım tutarı ellimilyon Türk Lirasının üzerindeki yatırımlar için en az beşmilyon Türk Lirası) harcama yapılması gerekir.</w:t>
      </w:r>
    </w:p>
    <w:p w:rsidR="00CF2D7A" w:rsidRPr="00CF2D7A" w:rsidRDefault="00CF2D7A" w:rsidP="00CF2D7A">
      <w:pPr>
        <w:tabs>
          <w:tab w:val="left" w:pos="566"/>
        </w:tabs>
        <w:spacing w:line="240" w:lineRule="exact"/>
        <w:ind w:firstLine="558"/>
        <w:jc w:val="both"/>
        <w:rPr>
          <w:rStyle w:val="Normal1"/>
          <w:rFonts w:eastAsiaTheme="minorHAnsi"/>
          <w:sz w:val="20"/>
          <w:szCs w:val="20"/>
          <w:lang w:val="tr-TR"/>
        </w:rPr>
      </w:pPr>
      <w:r w:rsidRPr="00CF2D7A">
        <w:rPr>
          <w:rStyle w:val="Normal1"/>
          <w:rFonts w:eastAsiaTheme="minorHAnsi"/>
          <w:sz w:val="20"/>
          <w:szCs w:val="20"/>
        </w:rPr>
        <w:t xml:space="preserve">(2) Teşvik belgesi kapsamındaki yatırımların proje bazında yapılacak değerlendirme sonucunda öngörülen sürede gerçekleştirilmesi esastır. Yatırımın öngörülen sürede gerçekleştirilememesi hâlinde, teşvik belgesinde kayıtlı ilk sürenin yarısı </w:t>
      </w:r>
      <w:proofErr w:type="gramStart"/>
      <w:r w:rsidRPr="00CF2D7A">
        <w:rPr>
          <w:rStyle w:val="Normal1"/>
          <w:rFonts w:eastAsiaTheme="minorHAnsi"/>
          <w:sz w:val="20"/>
          <w:szCs w:val="20"/>
        </w:rPr>
        <w:t>kadar</w:t>
      </w:r>
      <w:proofErr w:type="gramEnd"/>
      <w:r w:rsidRPr="00CF2D7A">
        <w:rPr>
          <w:rStyle w:val="Normal1"/>
          <w:rFonts w:eastAsiaTheme="minorHAnsi"/>
          <w:sz w:val="20"/>
          <w:szCs w:val="20"/>
        </w:rPr>
        <w:t xml:space="preserve"> ek süre verilebilir. Bu şekilde hesaplanan ek sürenin bir yıldan </w:t>
      </w:r>
      <w:proofErr w:type="gramStart"/>
      <w:r w:rsidRPr="00CF2D7A">
        <w:rPr>
          <w:rStyle w:val="Normal1"/>
          <w:rFonts w:eastAsiaTheme="minorHAnsi"/>
          <w:sz w:val="20"/>
          <w:szCs w:val="20"/>
        </w:rPr>
        <w:t>az</w:t>
      </w:r>
      <w:proofErr w:type="gramEnd"/>
      <w:r w:rsidRPr="00CF2D7A">
        <w:rPr>
          <w:rStyle w:val="Normal1"/>
          <w:rFonts w:eastAsiaTheme="minorHAnsi"/>
          <w:sz w:val="20"/>
          <w:szCs w:val="20"/>
        </w:rPr>
        <w:t xml:space="preserve"> olması halinde ek süre bir yıl olarak uygulanabilir. </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(3) İlgili mevzuatı gereği kamu kurum ve kuruluşlarından alınması gerekli izin ve ruhsat gibi diğer belgelerin temin edilememesi veya kamu kurum ve kuruluşlarının uygulamaları sonucu yatırımcıların faaliyetlerini durdurmaları veya yürütememeleri, yatırım süresi içerisinde gerçekleşecek mücbir sebep veya fevkalade hâl durumu nedeniyle yatırımın belgede kayıtlı süre içerisinde gerçekleştirilemediğinin yatırımcılar tarafından tevsik edilmesi hâlinde Bakanlıkça bu durum gözönünde bulundurularak ilave süre verilebilir.</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 xml:space="preserve">(4) Yatırımcı, öngörülen süre veya ek süre bitimini müteakip altı ay içinde yatırımın tamamlama vizesinin yapılması için teşvik belgesini düzenleyen yerel birime veya Bakanlığa müracaat </w:t>
      </w:r>
      <w:proofErr w:type="gramStart"/>
      <w:r w:rsidRPr="00CF2D7A">
        <w:rPr>
          <w:rStyle w:val="Normal1"/>
          <w:rFonts w:eastAsiaTheme="minorHAnsi"/>
          <w:sz w:val="20"/>
          <w:szCs w:val="20"/>
        </w:rPr>
        <w:t>eder</w:t>
      </w:r>
      <w:proofErr w:type="gramEnd"/>
      <w:r w:rsidRPr="00CF2D7A">
        <w:rPr>
          <w:rStyle w:val="Normal1"/>
          <w:rFonts w:eastAsiaTheme="minorHAnsi"/>
          <w:sz w:val="20"/>
          <w:szCs w:val="20"/>
        </w:rPr>
        <w:t xml:space="preserve">. </w:t>
      </w:r>
      <w:proofErr w:type="gramStart"/>
      <w:r w:rsidRPr="00CF2D7A">
        <w:rPr>
          <w:rStyle w:val="Normal1"/>
          <w:rFonts w:eastAsiaTheme="minorHAnsi"/>
          <w:sz w:val="20"/>
          <w:szCs w:val="20"/>
        </w:rPr>
        <w:t>Bu süre içerisinde müracaat edilmemesi ve daha sonra teşvik belgesinin herhangi bir nedenle iptal edilmesi veya kısmi müeyyide uygulanması durumunda geçen süreden kaynaklanan cezanın sorumluluğu yatırımcıya aittir.</w:t>
      </w:r>
      <w:proofErr w:type="gramEnd"/>
      <w:r w:rsidRPr="00CF2D7A">
        <w:rPr>
          <w:rStyle w:val="Normal1"/>
          <w:rFonts w:eastAsiaTheme="minorHAnsi"/>
          <w:sz w:val="20"/>
          <w:szCs w:val="20"/>
        </w:rPr>
        <w:t xml:space="preserve">                </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 xml:space="preserve">(5) Bakanlıkça, yatırımların tamamlama vizesi işlemleri için Kalkınma Ajansları, ticaret ve sanayi odaları, sanayi odaları, bankalar veya yatırımın bulunduğu </w:t>
      </w:r>
      <w:proofErr w:type="gramStart"/>
      <w:r w:rsidRPr="00CF2D7A">
        <w:rPr>
          <w:rStyle w:val="Normal1"/>
          <w:rFonts w:eastAsiaTheme="minorHAnsi"/>
          <w:sz w:val="20"/>
          <w:szCs w:val="20"/>
        </w:rPr>
        <w:t>il</w:t>
      </w:r>
      <w:proofErr w:type="gramEnd"/>
      <w:r w:rsidRPr="00CF2D7A">
        <w:rPr>
          <w:rStyle w:val="Normal1"/>
          <w:rFonts w:eastAsiaTheme="minorHAnsi"/>
          <w:sz w:val="20"/>
          <w:szCs w:val="20"/>
        </w:rPr>
        <w:t xml:space="preserve"> valiliği görevlendirilebilir.</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 xml:space="preserve">(6) Bakanlıkça uygun görülmesi halinde, daha önceki kararlara istinaden düzenlenen teşvik belgeleri de dahil olmak üzere tamamlama vizesi işlemleri, tebliğ ile belirlenen bilgi ve belgelere ilave olarak yeminli </w:t>
      </w:r>
      <w:proofErr w:type="gramStart"/>
      <w:r w:rsidRPr="00CF2D7A">
        <w:rPr>
          <w:rStyle w:val="Normal1"/>
          <w:rFonts w:eastAsiaTheme="minorHAnsi"/>
          <w:sz w:val="20"/>
          <w:szCs w:val="20"/>
        </w:rPr>
        <w:t>mali</w:t>
      </w:r>
      <w:proofErr w:type="gramEnd"/>
      <w:r w:rsidRPr="00CF2D7A">
        <w:rPr>
          <w:rStyle w:val="Normal1"/>
          <w:rFonts w:eastAsiaTheme="minorHAnsi"/>
          <w:sz w:val="20"/>
          <w:szCs w:val="20"/>
        </w:rPr>
        <w:t xml:space="preserve"> müşavirlerce düzenlenecek tamamlama ekspertiz raporuna istinaden de yapılabilir. </w:t>
      </w:r>
    </w:p>
    <w:p w:rsidR="00CF2D7A" w:rsidRPr="00CF2D7A" w:rsidRDefault="00CF2D7A" w:rsidP="00CF2D7A">
      <w:pPr>
        <w:tabs>
          <w:tab w:val="left" w:pos="566"/>
        </w:tabs>
        <w:spacing w:line="240" w:lineRule="exact"/>
        <w:ind w:firstLine="558"/>
        <w:jc w:val="both"/>
        <w:rPr>
          <w:rStyle w:val="Normal1"/>
          <w:rFonts w:eastAsiaTheme="minorHAnsi"/>
          <w:b/>
          <w:sz w:val="20"/>
          <w:szCs w:val="20"/>
        </w:rPr>
      </w:pPr>
      <w:r w:rsidRPr="00CF2D7A">
        <w:rPr>
          <w:rStyle w:val="Normal1"/>
          <w:rFonts w:eastAsiaTheme="minorHAnsi"/>
          <w:b/>
          <w:sz w:val="20"/>
          <w:szCs w:val="20"/>
        </w:rPr>
        <w:t>Belge zayii</w:t>
      </w:r>
    </w:p>
    <w:p w:rsidR="00CF2D7A" w:rsidRPr="00CF2D7A" w:rsidRDefault="00CF2D7A" w:rsidP="00CF2D7A">
      <w:pPr>
        <w:tabs>
          <w:tab w:val="left" w:pos="566"/>
        </w:tabs>
        <w:spacing w:line="240" w:lineRule="exact"/>
        <w:ind w:firstLine="558"/>
        <w:jc w:val="both"/>
        <w:rPr>
          <w:rStyle w:val="Normal1"/>
          <w:rFonts w:eastAsiaTheme="minorHAnsi"/>
          <w:sz w:val="20"/>
          <w:szCs w:val="20"/>
        </w:rPr>
      </w:pPr>
      <w:proofErr w:type="gramStart"/>
      <w:r w:rsidRPr="00CF2D7A">
        <w:rPr>
          <w:rStyle w:val="Normal1"/>
          <w:rFonts w:eastAsiaTheme="minorHAnsi"/>
          <w:b/>
          <w:sz w:val="20"/>
          <w:szCs w:val="20"/>
        </w:rPr>
        <w:t>MADDE 25 - (</w:t>
      </w:r>
      <w:r w:rsidRPr="00CF2D7A">
        <w:rPr>
          <w:rStyle w:val="Normal1"/>
          <w:rFonts w:eastAsiaTheme="minorHAnsi"/>
          <w:sz w:val="20"/>
          <w:szCs w:val="20"/>
        </w:rPr>
        <w:t>1) Teşvik belgesi veya eki belgelerin zayi olması nedeniyle yatırımcı tarafından yeniden tasdikinin talep edilmesi durumunda, tebliğle belirlenen mücbir sebep ve fevkalade hal durumları hariç olmak üzere tasdiki istenilen her bir belge için Bakanlık Döner Sermaye İşletmesi hesabına üçyüz Türk Lirası yatırılır.</w:t>
      </w:r>
      <w:proofErr w:type="gramEnd"/>
      <w:r w:rsidRPr="00CF2D7A">
        <w:rPr>
          <w:rStyle w:val="Normal1"/>
          <w:rFonts w:eastAsiaTheme="minorHAnsi"/>
          <w:sz w:val="20"/>
          <w:szCs w:val="20"/>
        </w:rPr>
        <w:t xml:space="preserve"> </w:t>
      </w:r>
      <w:proofErr w:type="gramStart"/>
      <w:r w:rsidRPr="00CF2D7A">
        <w:rPr>
          <w:rStyle w:val="Normal1"/>
          <w:rFonts w:eastAsiaTheme="minorHAnsi"/>
          <w:sz w:val="20"/>
          <w:szCs w:val="20"/>
        </w:rPr>
        <w:t>Söz konusu meblağ hiçbir surette iade edilmez.</w:t>
      </w:r>
      <w:proofErr w:type="gramEnd"/>
    </w:p>
    <w:p w:rsidR="00CF2D7A" w:rsidRPr="00CF2D7A" w:rsidRDefault="00CF2D7A" w:rsidP="00CF2D7A">
      <w:pPr>
        <w:tabs>
          <w:tab w:val="left" w:pos="566"/>
        </w:tabs>
        <w:spacing w:line="240" w:lineRule="exact"/>
        <w:ind w:firstLine="567"/>
        <w:jc w:val="both"/>
        <w:rPr>
          <w:rStyle w:val="Normal1"/>
          <w:rFonts w:eastAsiaTheme="minorHAnsi"/>
          <w:b/>
          <w:sz w:val="20"/>
          <w:szCs w:val="20"/>
        </w:rPr>
      </w:pPr>
      <w:r w:rsidRPr="00CF2D7A">
        <w:rPr>
          <w:rStyle w:val="Normal1"/>
          <w:rFonts w:eastAsiaTheme="minorHAnsi"/>
          <w:b/>
          <w:sz w:val="20"/>
          <w:szCs w:val="20"/>
        </w:rPr>
        <w:lastRenderedPageBreak/>
        <w:t>Uygulama</w:t>
      </w:r>
    </w:p>
    <w:p w:rsidR="00CF2D7A" w:rsidRPr="00CF2D7A" w:rsidRDefault="00CF2D7A" w:rsidP="00CF2D7A">
      <w:pPr>
        <w:tabs>
          <w:tab w:val="left" w:pos="566"/>
        </w:tabs>
        <w:spacing w:line="240" w:lineRule="exact"/>
        <w:ind w:firstLine="567"/>
        <w:jc w:val="both"/>
        <w:rPr>
          <w:rStyle w:val="Normal1"/>
          <w:rFonts w:eastAsiaTheme="minorHAnsi"/>
          <w:sz w:val="20"/>
          <w:szCs w:val="20"/>
        </w:rPr>
      </w:pPr>
      <w:proofErr w:type="gramStart"/>
      <w:r w:rsidRPr="00CF2D7A">
        <w:rPr>
          <w:rStyle w:val="Normal1"/>
          <w:rFonts w:eastAsiaTheme="minorHAnsi"/>
          <w:b/>
          <w:sz w:val="20"/>
          <w:szCs w:val="20"/>
        </w:rPr>
        <w:t>MADDE 26 - (</w:t>
      </w:r>
      <w:r w:rsidRPr="00CF2D7A">
        <w:rPr>
          <w:rStyle w:val="Normal1"/>
          <w:rFonts w:eastAsiaTheme="minorHAnsi"/>
          <w:sz w:val="20"/>
          <w:szCs w:val="20"/>
        </w:rPr>
        <w:t>1) Teşvik belgesinde öngörülen destek unsurlarının ilgili kurum ve kuruluşlar tarafından uygulanması zorunludur.</w:t>
      </w:r>
      <w:proofErr w:type="gramEnd"/>
    </w:p>
    <w:p w:rsidR="00CF2D7A" w:rsidRPr="00CF2D7A" w:rsidRDefault="00CF2D7A" w:rsidP="00CF2D7A">
      <w:pPr>
        <w:tabs>
          <w:tab w:val="left" w:pos="566"/>
        </w:tabs>
        <w:spacing w:line="240" w:lineRule="exact"/>
        <w:ind w:firstLine="567"/>
        <w:jc w:val="both"/>
        <w:rPr>
          <w:rStyle w:val="Normal1"/>
          <w:rFonts w:eastAsiaTheme="minorHAnsi"/>
          <w:sz w:val="20"/>
          <w:szCs w:val="20"/>
        </w:rPr>
      </w:pPr>
      <w:r w:rsidRPr="00CF2D7A">
        <w:rPr>
          <w:rStyle w:val="Normal1"/>
          <w:rFonts w:eastAsiaTheme="minorHAnsi"/>
          <w:sz w:val="20"/>
          <w:szCs w:val="20"/>
        </w:rPr>
        <w:t>(2) Bakanlık, tebliğler ile belirlenen usul ve esaslar çerçevesinde bu Karar kapsamındaki uygulamaya yönelik bazı işlemleri diğer kurum ve kuruluşlar aracılığı ile yürütebilir.</w:t>
      </w:r>
    </w:p>
    <w:p w:rsidR="00CF2D7A" w:rsidRPr="00CF2D7A" w:rsidRDefault="00CF2D7A" w:rsidP="00CF2D7A">
      <w:pPr>
        <w:spacing w:line="240" w:lineRule="exact"/>
        <w:ind w:firstLine="567"/>
        <w:jc w:val="both"/>
        <w:rPr>
          <w:rFonts w:ascii="Times New Roman" w:hAnsi="Times New Roman" w:cs="Times New Roman"/>
          <w:b/>
          <w:sz w:val="20"/>
          <w:szCs w:val="20"/>
        </w:rPr>
      </w:pPr>
      <w:r w:rsidRPr="00CF2D7A">
        <w:rPr>
          <w:rFonts w:ascii="Times New Roman" w:hAnsi="Times New Roman" w:cs="Times New Roman"/>
          <w:b/>
          <w:sz w:val="20"/>
          <w:szCs w:val="20"/>
        </w:rPr>
        <w:t>Yetki ve denetim</w:t>
      </w:r>
    </w:p>
    <w:p w:rsidR="00CF2D7A" w:rsidRPr="00CF2D7A" w:rsidRDefault="00CF2D7A" w:rsidP="00CF2D7A">
      <w:pPr>
        <w:spacing w:line="240" w:lineRule="exact"/>
        <w:ind w:firstLine="567"/>
        <w:jc w:val="both"/>
        <w:rPr>
          <w:rStyle w:val="Normal1"/>
          <w:rFonts w:eastAsiaTheme="minorHAnsi"/>
          <w:sz w:val="20"/>
          <w:szCs w:val="20"/>
        </w:rPr>
      </w:pPr>
      <w:r w:rsidRPr="00CF2D7A">
        <w:rPr>
          <w:rFonts w:ascii="Times New Roman" w:hAnsi="Times New Roman" w:cs="Times New Roman"/>
          <w:b/>
          <w:sz w:val="20"/>
          <w:szCs w:val="20"/>
        </w:rPr>
        <w:t>MADDE 27 - (</w:t>
      </w:r>
      <w:r w:rsidRPr="00CF2D7A">
        <w:rPr>
          <w:rFonts w:ascii="Times New Roman" w:hAnsi="Times New Roman" w:cs="Times New Roman"/>
          <w:sz w:val="20"/>
          <w:szCs w:val="20"/>
        </w:rPr>
        <w:t xml:space="preserve">1) </w:t>
      </w:r>
      <w:r w:rsidRPr="00CF2D7A">
        <w:rPr>
          <w:rStyle w:val="Normal1"/>
          <w:rFonts w:eastAsiaTheme="minorHAnsi"/>
          <w:sz w:val="20"/>
          <w:szCs w:val="20"/>
        </w:rPr>
        <w:t>Bu Kararın uygulanmasını teminen Bakanlık;</w:t>
      </w:r>
    </w:p>
    <w:p w:rsidR="00CF2D7A" w:rsidRPr="00CF2D7A" w:rsidRDefault="00CF2D7A" w:rsidP="00CF2D7A">
      <w:pPr>
        <w:spacing w:line="240" w:lineRule="exact"/>
        <w:ind w:firstLine="567"/>
        <w:jc w:val="both"/>
        <w:rPr>
          <w:rStyle w:val="Normal1"/>
          <w:rFonts w:eastAsiaTheme="minorHAnsi"/>
          <w:sz w:val="20"/>
          <w:szCs w:val="20"/>
        </w:rPr>
      </w:pPr>
      <w:r w:rsidRPr="00CF2D7A">
        <w:rPr>
          <w:rStyle w:val="Normal1"/>
          <w:rFonts w:eastAsiaTheme="minorHAnsi"/>
          <w:sz w:val="20"/>
          <w:szCs w:val="20"/>
        </w:rPr>
        <w:t>a) Uygulamaya ilişkin usul ve esasları belirlemeye, talimat vermeye,</w:t>
      </w:r>
    </w:p>
    <w:p w:rsidR="00CF2D7A" w:rsidRPr="00CF2D7A" w:rsidRDefault="00CF2D7A" w:rsidP="00CF2D7A">
      <w:pPr>
        <w:spacing w:line="240" w:lineRule="exact"/>
        <w:ind w:firstLine="567"/>
        <w:jc w:val="both"/>
        <w:rPr>
          <w:rStyle w:val="Normal1"/>
          <w:rFonts w:eastAsiaTheme="minorHAnsi"/>
          <w:sz w:val="20"/>
          <w:szCs w:val="20"/>
        </w:rPr>
      </w:pPr>
      <w:r w:rsidRPr="00CF2D7A">
        <w:rPr>
          <w:rStyle w:val="Normal1"/>
          <w:rFonts w:eastAsiaTheme="minorHAnsi"/>
          <w:sz w:val="20"/>
          <w:szCs w:val="20"/>
        </w:rPr>
        <w:t>b) Makroekonomik politikalar ve gelişen şartları gözönünde bulundurarak gerekli tedbirleri almaya ve bu yönde düzenlemeler yapmaya,</w:t>
      </w:r>
    </w:p>
    <w:p w:rsidR="00CF2D7A" w:rsidRPr="00CF2D7A" w:rsidRDefault="00CF2D7A" w:rsidP="00CF2D7A">
      <w:pPr>
        <w:spacing w:line="240" w:lineRule="exact"/>
        <w:ind w:firstLine="567"/>
        <w:jc w:val="both"/>
        <w:rPr>
          <w:rStyle w:val="Normal1"/>
          <w:rFonts w:eastAsiaTheme="minorHAnsi"/>
          <w:sz w:val="20"/>
          <w:szCs w:val="20"/>
        </w:rPr>
      </w:pPr>
      <w:r w:rsidRPr="00CF2D7A">
        <w:rPr>
          <w:rStyle w:val="Normal1"/>
          <w:rFonts w:eastAsiaTheme="minorHAnsi"/>
          <w:sz w:val="20"/>
          <w:szCs w:val="20"/>
        </w:rPr>
        <w:t xml:space="preserve">c) İlgili </w:t>
      </w:r>
      <w:proofErr w:type="gramStart"/>
      <w:r w:rsidRPr="00CF2D7A">
        <w:rPr>
          <w:rStyle w:val="Normal1"/>
          <w:rFonts w:eastAsiaTheme="minorHAnsi"/>
          <w:sz w:val="20"/>
          <w:szCs w:val="20"/>
        </w:rPr>
        <w:t>kişi</w:t>
      </w:r>
      <w:proofErr w:type="gramEnd"/>
      <w:r w:rsidRPr="00CF2D7A">
        <w:rPr>
          <w:rStyle w:val="Normal1"/>
          <w:rFonts w:eastAsiaTheme="minorHAnsi"/>
          <w:sz w:val="20"/>
          <w:szCs w:val="20"/>
        </w:rPr>
        <w:t>, kurum ve kuruluşlardan gerekli görülen her türlü ilave bilgi, belge, görüş, izin, ruhsat vb. istemeye,</w:t>
      </w:r>
    </w:p>
    <w:p w:rsidR="00CF2D7A" w:rsidRPr="00CF2D7A" w:rsidRDefault="00CF2D7A" w:rsidP="00CF2D7A">
      <w:pPr>
        <w:spacing w:line="240" w:lineRule="exact"/>
        <w:ind w:firstLine="567"/>
        <w:jc w:val="both"/>
        <w:rPr>
          <w:rStyle w:val="Normal1"/>
          <w:rFonts w:eastAsiaTheme="minorHAnsi"/>
          <w:sz w:val="20"/>
          <w:szCs w:val="20"/>
        </w:rPr>
      </w:pPr>
      <w:r w:rsidRPr="00CF2D7A">
        <w:rPr>
          <w:rStyle w:val="Normal1"/>
          <w:rFonts w:eastAsiaTheme="minorHAnsi"/>
          <w:sz w:val="20"/>
          <w:szCs w:val="20"/>
        </w:rPr>
        <w:t>ç) Bu Kararda öngörülen hâller dışında kalan özel durumları inceleyip sonuçlandırmaya, görüş vermeye, mücbir sebep ve fevkalade hal durumlarının varlığı hâlinde teşvik belgesi ile ilgili gerekli işlemleri yapmaya ve uygulamada ortaya çıkacak ihtilafları çözmeye,</w:t>
      </w:r>
    </w:p>
    <w:p w:rsidR="00CF2D7A" w:rsidRPr="00CF2D7A" w:rsidRDefault="00CF2D7A" w:rsidP="00CF2D7A">
      <w:pPr>
        <w:spacing w:line="240" w:lineRule="exact"/>
        <w:ind w:firstLine="567"/>
        <w:jc w:val="both"/>
        <w:rPr>
          <w:rStyle w:val="Normal1"/>
          <w:rFonts w:eastAsiaTheme="minorHAnsi"/>
          <w:sz w:val="20"/>
          <w:szCs w:val="20"/>
        </w:rPr>
      </w:pPr>
      <w:r w:rsidRPr="00CF2D7A">
        <w:rPr>
          <w:rStyle w:val="Normal1"/>
          <w:rFonts w:eastAsiaTheme="minorHAnsi"/>
          <w:sz w:val="20"/>
          <w:szCs w:val="20"/>
        </w:rPr>
        <w:t>d) Teşvik belgesinde öngörülen şartlara uyulup uyulmadığını denetlemeye ve denetim sonuçlarına göre gerekli tedbirleri almaya,</w:t>
      </w:r>
    </w:p>
    <w:p w:rsidR="00CF2D7A" w:rsidRPr="00CF2D7A" w:rsidRDefault="00CF2D7A" w:rsidP="00CF2D7A">
      <w:pPr>
        <w:spacing w:line="240" w:lineRule="exact"/>
        <w:ind w:firstLine="567"/>
        <w:jc w:val="both"/>
        <w:rPr>
          <w:rFonts w:ascii="Times New Roman" w:hAnsi="Times New Roman" w:cs="Times New Roman"/>
          <w:sz w:val="20"/>
          <w:szCs w:val="20"/>
        </w:rPr>
      </w:pPr>
      <w:proofErr w:type="gramStart"/>
      <w:r w:rsidRPr="00CF2D7A">
        <w:rPr>
          <w:rFonts w:ascii="Times New Roman" w:hAnsi="Times New Roman" w:cs="Times New Roman"/>
          <w:sz w:val="20"/>
          <w:szCs w:val="20"/>
        </w:rPr>
        <w:t>yetkilidir</w:t>
      </w:r>
      <w:proofErr w:type="gramEnd"/>
      <w:r w:rsidRPr="00CF2D7A">
        <w:rPr>
          <w:rFonts w:ascii="Times New Roman" w:hAnsi="Times New Roman" w:cs="Times New Roman"/>
          <w:sz w:val="20"/>
          <w:szCs w:val="20"/>
        </w:rPr>
        <w:t>.</w:t>
      </w:r>
    </w:p>
    <w:p w:rsidR="00CF2D7A" w:rsidRPr="00CF2D7A" w:rsidRDefault="00CF2D7A" w:rsidP="00CF2D7A">
      <w:pPr>
        <w:spacing w:line="240" w:lineRule="exact"/>
        <w:ind w:firstLine="567"/>
        <w:jc w:val="both"/>
        <w:rPr>
          <w:rFonts w:ascii="Times New Roman" w:hAnsi="Times New Roman" w:cs="Times New Roman"/>
          <w:sz w:val="20"/>
          <w:szCs w:val="20"/>
        </w:rPr>
      </w:pPr>
      <w:r w:rsidRPr="00CF2D7A">
        <w:rPr>
          <w:rFonts w:ascii="Times New Roman" w:hAnsi="Times New Roman" w:cs="Times New Roman"/>
          <w:sz w:val="20"/>
          <w:szCs w:val="20"/>
        </w:rPr>
        <w:t>(2) Denetim sırasında, denetim görevlilerinin yatırımla ilgili her türlü bilgi ve belgeyi inceleme taleplerinin karşılanması, talep edilmesi halinde belgelerin onaylı örneklerinin verilmesi ve mahallinde incelemeye izin verilmesi zorunludur.</w:t>
      </w:r>
    </w:p>
    <w:p w:rsidR="00CF2D7A" w:rsidRPr="00CF2D7A" w:rsidRDefault="00CF2D7A" w:rsidP="00CF2D7A">
      <w:pPr>
        <w:spacing w:line="240" w:lineRule="exact"/>
        <w:ind w:right="-2" w:firstLine="558"/>
        <w:jc w:val="both"/>
        <w:rPr>
          <w:rFonts w:ascii="Times New Roman" w:hAnsi="Times New Roman" w:cs="Times New Roman"/>
          <w:b/>
          <w:sz w:val="20"/>
          <w:szCs w:val="20"/>
        </w:rPr>
      </w:pPr>
      <w:r w:rsidRPr="00CF2D7A">
        <w:rPr>
          <w:rFonts w:ascii="Times New Roman" w:hAnsi="Times New Roman" w:cs="Times New Roman"/>
          <w:b/>
          <w:sz w:val="20"/>
          <w:szCs w:val="20"/>
        </w:rPr>
        <w:t>Müeyyide</w:t>
      </w:r>
    </w:p>
    <w:p w:rsidR="00CF2D7A" w:rsidRPr="00CF2D7A" w:rsidRDefault="00CF2D7A" w:rsidP="00CF2D7A">
      <w:pPr>
        <w:spacing w:line="240" w:lineRule="exact"/>
        <w:ind w:right="-2" w:firstLine="558"/>
        <w:jc w:val="both"/>
        <w:rPr>
          <w:rFonts w:ascii="Times New Roman" w:hAnsi="Times New Roman" w:cs="Times New Roman"/>
          <w:sz w:val="20"/>
          <w:szCs w:val="20"/>
        </w:rPr>
      </w:pPr>
      <w:proofErr w:type="gramStart"/>
      <w:r w:rsidRPr="00CF2D7A">
        <w:rPr>
          <w:rFonts w:ascii="Times New Roman" w:hAnsi="Times New Roman" w:cs="Times New Roman"/>
          <w:b/>
          <w:sz w:val="20"/>
          <w:szCs w:val="20"/>
        </w:rPr>
        <w:t>MADDE 28</w:t>
      </w:r>
      <w:r w:rsidRPr="00CF2D7A">
        <w:rPr>
          <w:rFonts w:ascii="Times New Roman" w:hAnsi="Times New Roman" w:cs="Times New Roman"/>
          <w:sz w:val="20"/>
          <w:szCs w:val="20"/>
        </w:rPr>
        <w:t xml:space="preserve"> - (1) Bu Karar ile uygulama mevzuatında belirlenen hükümlere aykırı davranan, teşvik belgesindeki kayıt ve koşulları yerine getirmeyen, teşvik belgesi ile diğer belgelerde tahrifat yapan, sahte ve muhteviyatı itibarıyla yanıltıcı belge düzenleyen veya kullanan, yanlış ve yanıltıcı bilgi veren, diğer kurum, kuruluş veya firmalara karşı yükümlülüklerin yerine getirilmemesi nedeniyle icra veya iflas yoluyla yapılan işlemler de dâhil belge kapsamındaki makine ve teçhizatı öngörülen sürelerden önce satan veya satılmasına sebebiyet veren, teşvik belgesinde öngörülen sürede yatırımları tamamlamayan, belirlenen asgari yatırım tutarlarına uymayan yatırımcıların teşvik belgeleri bu maddenin ikinci fıkra hükmü saklı kalmak kaydıyla iptal edilir. </w:t>
      </w:r>
      <w:proofErr w:type="gramEnd"/>
    </w:p>
    <w:p w:rsidR="00CF2D7A" w:rsidRPr="00CF2D7A" w:rsidRDefault="00CF2D7A" w:rsidP="00CF2D7A">
      <w:pPr>
        <w:spacing w:line="240" w:lineRule="exact"/>
        <w:ind w:right="-2" w:firstLine="558"/>
        <w:jc w:val="both"/>
        <w:rPr>
          <w:rFonts w:ascii="Times New Roman" w:hAnsi="Times New Roman" w:cs="Times New Roman"/>
          <w:sz w:val="20"/>
          <w:szCs w:val="20"/>
        </w:rPr>
      </w:pPr>
      <w:r w:rsidRPr="00CF2D7A">
        <w:rPr>
          <w:rFonts w:ascii="Times New Roman" w:hAnsi="Times New Roman" w:cs="Times New Roman"/>
          <w:sz w:val="20"/>
          <w:szCs w:val="20"/>
        </w:rPr>
        <w:t>(2) Yatırımcının mükellefiyetlerini kısmen yerine getirmediği ancak, belge iptalinin de gerekmediği durumlarda belge kapsamında sağlanan desteklerden bir kısmı müeyyide uygulanarak geri alınır.</w:t>
      </w:r>
    </w:p>
    <w:p w:rsidR="00CF2D7A" w:rsidRPr="00CF2D7A" w:rsidRDefault="00CF2D7A" w:rsidP="00CF2D7A">
      <w:pPr>
        <w:tabs>
          <w:tab w:val="left" w:pos="566"/>
        </w:tabs>
        <w:spacing w:line="240" w:lineRule="exact"/>
        <w:ind w:firstLine="558"/>
        <w:jc w:val="both"/>
        <w:rPr>
          <w:rStyle w:val="Normal1"/>
          <w:rFonts w:eastAsiaTheme="minorHAnsi"/>
          <w:sz w:val="20"/>
          <w:szCs w:val="20"/>
          <w:lang w:val="tr-TR"/>
        </w:rPr>
      </w:pPr>
      <w:r w:rsidRPr="00CF2D7A">
        <w:rPr>
          <w:rFonts w:ascii="Times New Roman" w:hAnsi="Times New Roman" w:cs="Times New Roman"/>
          <w:sz w:val="20"/>
          <w:szCs w:val="20"/>
        </w:rPr>
        <w:t xml:space="preserve">(3) Teşvik belgelerinin iptal edilmesi veya kısmi müeyyide uygulanması halinde sağlanan destekler </w:t>
      </w:r>
      <w:r w:rsidRPr="00CF2D7A">
        <w:rPr>
          <w:rStyle w:val="Normal1"/>
          <w:rFonts w:eastAsiaTheme="minorHAnsi"/>
          <w:sz w:val="20"/>
          <w:szCs w:val="20"/>
        </w:rPr>
        <w:t xml:space="preserve">6183 sayılı Kanun hükümleri çerçevesinde yatırımcıdan geri alınır. </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 xml:space="preserve">(4) Yatırımcının mükellefiyetlerini yerine getirmemesi hâlinde uygulanacak olan müeyyidelerden finansal kiralamaya konu makine ve teçhizata tekabül </w:t>
      </w:r>
      <w:proofErr w:type="gramStart"/>
      <w:r w:rsidRPr="00CF2D7A">
        <w:rPr>
          <w:rStyle w:val="Normal1"/>
          <w:rFonts w:eastAsiaTheme="minorHAnsi"/>
          <w:sz w:val="20"/>
          <w:szCs w:val="20"/>
        </w:rPr>
        <w:t>eden</w:t>
      </w:r>
      <w:proofErr w:type="gramEnd"/>
      <w:r w:rsidRPr="00CF2D7A">
        <w:rPr>
          <w:rStyle w:val="Normal1"/>
          <w:rFonts w:eastAsiaTheme="minorHAnsi"/>
          <w:sz w:val="20"/>
          <w:szCs w:val="20"/>
        </w:rPr>
        <w:t xml:space="preserve"> bölümü, kısmen veya tamamen finansal kiralama şirketlerine de uygulanabilir.</w:t>
      </w:r>
    </w:p>
    <w:p w:rsidR="00CF2D7A" w:rsidRPr="00CF2D7A" w:rsidRDefault="00CF2D7A" w:rsidP="00CF2D7A">
      <w:pPr>
        <w:tabs>
          <w:tab w:val="left" w:pos="566"/>
        </w:tabs>
        <w:spacing w:line="240" w:lineRule="exact"/>
        <w:ind w:firstLine="558"/>
        <w:jc w:val="both"/>
        <w:rPr>
          <w:rFonts w:ascii="Times New Roman" w:hAnsi="Times New Roman" w:cs="Times New Roman"/>
          <w:b/>
          <w:sz w:val="20"/>
          <w:szCs w:val="20"/>
        </w:rPr>
      </w:pPr>
      <w:r w:rsidRPr="00CF2D7A">
        <w:rPr>
          <w:rFonts w:ascii="Times New Roman" w:hAnsi="Times New Roman" w:cs="Times New Roman"/>
          <w:b/>
          <w:sz w:val="20"/>
          <w:szCs w:val="20"/>
        </w:rPr>
        <w:t>Diğer desteklerden yararlanma</w:t>
      </w:r>
    </w:p>
    <w:p w:rsidR="00CF2D7A" w:rsidRPr="00CF2D7A" w:rsidRDefault="00CF2D7A" w:rsidP="00CF2D7A">
      <w:pPr>
        <w:tabs>
          <w:tab w:val="left" w:pos="566"/>
        </w:tabs>
        <w:spacing w:line="240" w:lineRule="exact"/>
        <w:ind w:firstLine="558"/>
        <w:jc w:val="both"/>
        <w:rPr>
          <w:rFonts w:ascii="Times New Roman" w:hAnsi="Times New Roman" w:cs="Times New Roman"/>
          <w:sz w:val="20"/>
          <w:szCs w:val="20"/>
        </w:rPr>
      </w:pPr>
      <w:r w:rsidRPr="00CF2D7A">
        <w:rPr>
          <w:rFonts w:ascii="Times New Roman" w:hAnsi="Times New Roman" w:cs="Times New Roman"/>
          <w:b/>
          <w:sz w:val="20"/>
          <w:szCs w:val="20"/>
        </w:rPr>
        <w:t>MADDE 29 - (</w:t>
      </w:r>
      <w:r w:rsidRPr="00CF2D7A">
        <w:rPr>
          <w:rFonts w:ascii="Times New Roman" w:hAnsi="Times New Roman" w:cs="Times New Roman"/>
          <w:sz w:val="20"/>
          <w:szCs w:val="20"/>
        </w:rPr>
        <w:t>1) Bu Karar kapsamındaki destek unsurlarından yararlanan yatırım harcamaları, diğer kamu kurum ve kuruluşlarının desteklerinden yararlanamaz. Diğer kamu kurum ve kuruluşlarının desteklerinden yararlanılan veya yararlanılacak yatırım harcamaları için, bu Karar kapsamındaki desteklerden yararlanmak üzere Bakanlığa müracaat edilemez. Bu madde hükmüne aykırı davranılması halinde, bu Karar kapsamında yararlanılan destekler ilgili mevzuat çerçevesinde geri alınır.</w:t>
      </w:r>
    </w:p>
    <w:p w:rsidR="00CF2D7A" w:rsidRPr="00CF2D7A" w:rsidRDefault="00CF2D7A" w:rsidP="00CF2D7A">
      <w:pPr>
        <w:tabs>
          <w:tab w:val="left" w:pos="566"/>
        </w:tabs>
        <w:spacing w:line="240" w:lineRule="exact"/>
        <w:ind w:firstLine="558"/>
        <w:jc w:val="both"/>
        <w:rPr>
          <w:rStyle w:val="Normal1"/>
          <w:rFonts w:eastAsiaTheme="minorHAnsi"/>
          <w:b/>
          <w:sz w:val="20"/>
          <w:szCs w:val="20"/>
          <w:lang w:val="tr-TR"/>
        </w:rPr>
      </w:pPr>
      <w:r w:rsidRPr="00CF2D7A">
        <w:rPr>
          <w:rStyle w:val="Normal1"/>
          <w:rFonts w:eastAsiaTheme="minorHAnsi"/>
          <w:b/>
          <w:sz w:val="20"/>
          <w:szCs w:val="20"/>
        </w:rPr>
        <w:lastRenderedPageBreak/>
        <w:t>Yürürlükten kaldırılan mevzuat</w:t>
      </w:r>
    </w:p>
    <w:p w:rsidR="00CF2D7A" w:rsidRPr="00CF2D7A" w:rsidRDefault="00CF2D7A" w:rsidP="00CF2D7A">
      <w:pPr>
        <w:tabs>
          <w:tab w:val="left" w:pos="566"/>
        </w:tabs>
        <w:spacing w:line="240" w:lineRule="exact"/>
        <w:ind w:firstLine="558"/>
        <w:jc w:val="both"/>
        <w:rPr>
          <w:rStyle w:val="Normal1"/>
          <w:rFonts w:eastAsiaTheme="minorHAnsi"/>
          <w:sz w:val="20"/>
          <w:szCs w:val="20"/>
        </w:rPr>
      </w:pPr>
      <w:proofErr w:type="gramStart"/>
      <w:r w:rsidRPr="00CF2D7A">
        <w:rPr>
          <w:rStyle w:val="Normal1"/>
          <w:rFonts w:eastAsiaTheme="minorHAnsi"/>
          <w:b/>
          <w:sz w:val="20"/>
          <w:szCs w:val="20"/>
        </w:rPr>
        <w:t>MADDE 30 - (</w:t>
      </w:r>
      <w:r w:rsidRPr="00CF2D7A">
        <w:rPr>
          <w:rStyle w:val="Normal1"/>
          <w:rFonts w:eastAsiaTheme="minorHAnsi"/>
          <w:sz w:val="20"/>
          <w:szCs w:val="20"/>
        </w:rPr>
        <w:t>1) 14/7/2009 tarihli ve 2009/15199 sayılı Bakanlar Kurulu Kararı ile yürürlüğe konulan Yatırımlarda Devlet Yardımları Hakkında Karar yürürlükten kaldırılmıştır.</w:t>
      </w:r>
      <w:proofErr w:type="gramEnd"/>
      <w:r w:rsidRPr="00CF2D7A">
        <w:rPr>
          <w:rStyle w:val="Normal1"/>
          <w:rFonts w:eastAsiaTheme="minorHAnsi"/>
          <w:sz w:val="20"/>
          <w:szCs w:val="20"/>
        </w:rPr>
        <w:t xml:space="preserve"> </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b/>
          <w:sz w:val="20"/>
          <w:szCs w:val="20"/>
        </w:rPr>
        <w:t>Sonuçlandırılmamış müracaatlar</w:t>
      </w:r>
    </w:p>
    <w:p w:rsidR="00CF2D7A" w:rsidRPr="00CF2D7A" w:rsidRDefault="00CF2D7A" w:rsidP="00CF2D7A">
      <w:pPr>
        <w:tabs>
          <w:tab w:val="left" w:pos="566"/>
        </w:tabs>
        <w:spacing w:line="240" w:lineRule="exact"/>
        <w:ind w:firstLine="558"/>
        <w:jc w:val="both"/>
        <w:rPr>
          <w:rStyle w:val="Normal1"/>
          <w:rFonts w:eastAsiaTheme="minorHAnsi"/>
          <w:sz w:val="20"/>
          <w:szCs w:val="20"/>
        </w:rPr>
      </w:pPr>
      <w:proofErr w:type="gramStart"/>
      <w:r w:rsidRPr="00CF2D7A">
        <w:rPr>
          <w:rStyle w:val="Normal1"/>
          <w:rFonts w:eastAsiaTheme="minorHAnsi"/>
          <w:b/>
          <w:sz w:val="20"/>
          <w:szCs w:val="20"/>
        </w:rPr>
        <w:t>GEÇİCİ MADDE 1 - (</w:t>
      </w:r>
      <w:r w:rsidRPr="00CF2D7A">
        <w:rPr>
          <w:rStyle w:val="Normal1"/>
          <w:rFonts w:eastAsiaTheme="minorHAnsi"/>
          <w:sz w:val="20"/>
          <w:szCs w:val="20"/>
        </w:rPr>
        <w:t>1) Bu Kararın yayımı tarihinden önce sonuçlandırılmamış müracaatlar, müracaat tarihinde yürürlükte bulunan Karar çerçevesinde sonuçlandırılır.</w:t>
      </w:r>
      <w:proofErr w:type="gramEnd"/>
      <w:r w:rsidRPr="00CF2D7A">
        <w:rPr>
          <w:rStyle w:val="Normal1"/>
          <w:rFonts w:eastAsiaTheme="minorHAnsi"/>
          <w:sz w:val="20"/>
          <w:szCs w:val="20"/>
        </w:rPr>
        <w:t xml:space="preserve"> </w:t>
      </w:r>
      <w:proofErr w:type="gramStart"/>
      <w:r w:rsidRPr="00CF2D7A">
        <w:rPr>
          <w:rStyle w:val="Normal1"/>
          <w:rFonts w:eastAsiaTheme="minorHAnsi"/>
          <w:sz w:val="20"/>
          <w:szCs w:val="20"/>
        </w:rPr>
        <w:t>Ancak, yeni teşvik belgesi düzenlenmesine ilişkin müracaatlar, talep edilmesi halinde bu Karara istinaden değerlendirilir.</w:t>
      </w:r>
      <w:proofErr w:type="gramEnd"/>
      <w:r w:rsidRPr="00CF2D7A">
        <w:rPr>
          <w:rStyle w:val="Normal1"/>
          <w:rFonts w:eastAsiaTheme="minorHAnsi"/>
          <w:sz w:val="20"/>
          <w:szCs w:val="20"/>
        </w:rPr>
        <w:t xml:space="preserve">  </w:t>
      </w:r>
    </w:p>
    <w:p w:rsidR="00CF2D7A" w:rsidRPr="00CF2D7A" w:rsidRDefault="00CF2D7A" w:rsidP="00CF2D7A">
      <w:pPr>
        <w:tabs>
          <w:tab w:val="left" w:pos="566"/>
        </w:tabs>
        <w:spacing w:line="240" w:lineRule="exact"/>
        <w:ind w:firstLine="558"/>
        <w:jc w:val="both"/>
        <w:rPr>
          <w:rStyle w:val="Normal1"/>
          <w:rFonts w:eastAsiaTheme="minorHAnsi"/>
          <w:b/>
          <w:sz w:val="20"/>
          <w:szCs w:val="20"/>
        </w:rPr>
      </w:pPr>
      <w:r w:rsidRPr="00CF2D7A">
        <w:rPr>
          <w:rStyle w:val="Normal1"/>
          <w:rFonts w:eastAsiaTheme="minorHAnsi"/>
          <w:b/>
          <w:sz w:val="20"/>
          <w:szCs w:val="20"/>
        </w:rPr>
        <w:t>Daha önceki kararlara ilişkin uygulama</w:t>
      </w:r>
    </w:p>
    <w:p w:rsidR="00CF2D7A" w:rsidRPr="00CF2D7A" w:rsidRDefault="00CF2D7A" w:rsidP="00CF2D7A">
      <w:pPr>
        <w:tabs>
          <w:tab w:val="left" w:pos="566"/>
        </w:tabs>
        <w:spacing w:line="240" w:lineRule="exact"/>
        <w:ind w:firstLine="558"/>
        <w:jc w:val="both"/>
        <w:rPr>
          <w:rStyle w:val="Normal1"/>
          <w:rFonts w:eastAsiaTheme="minorHAnsi"/>
          <w:sz w:val="20"/>
          <w:szCs w:val="20"/>
        </w:rPr>
      </w:pPr>
      <w:proofErr w:type="gramStart"/>
      <w:r w:rsidRPr="00CF2D7A">
        <w:rPr>
          <w:rStyle w:val="Normal1"/>
          <w:rFonts w:eastAsiaTheme="minorHAnsi"/>
          <w:b/>
          <w:sz w:val="20"/>
          <w:szCs w:val="20"/>
        </w:rPr>
        <w:t>GEÇİCİ MADDE 2 - (</w:t>
      </w:r>
      <w:r w:rsidRPr="00CF2D7A">
        <w:rPr>
          <w:rStyle w:val="Normal1"/>
          <w:rFonts w:eastAsiaTheme="minorHAnsi"/>
          <w:sz w:val="20"/>
          <w:szCs w:val="20"/>
        </w:rPr>
        <w:t>1) Bu Kararın yürürlüğe girdiği tarihten önceki kararlara istinaden düzenlenen teşvik belgeleri ile ilgili uygulamalara, teşvik belgesinin dayandığı karar ve ilgili diğer kararlar çerçevesinde devam olunur.</w:t>
      </w:r>
      <w:proofErr w:type="gramEnd"/>
      <w:r w:rsidRPr="00CF2D7A">
        <w:rPr>
          <w:rStyle w:val="Normal1"/>
          <w:rFonts w:eastAsiaTheme="minorHAnsi"/>
          <w:sz w:val="20"/>
          <w:szCs w:val="20"/>
        </w:rPr>
        <w:t xml:space="preserve"> Ancak, 2009/15199 sayılı Bakanlar Kurulu Kararına istinaden 1/1/2012 tarihinden bu Kararın yayımı tarihine </w:t>
      </w:r>
      <w:proofErr w:type="gramStart"/>
      <w:r w:rsidRPr="00CF2D7A">
        <w:rPr>
          <w:rStyle w:val="Normal1"/>
          <w:rFonts w:eastAsiaTheme="minorHAnsi"/>
          <w:sz w:val="20"/>
          <w:szCs w:val="20"/>
        </w:rPr>
        <w:t>kadar</w:t>
      </w:r>
      <w:proofErr w:type="gramEnd"/>
      <w:r w:rsidRPr="00CF2D7A">
        <w:rPr>
          <w:rStyle w:val="Normal1"/>
          <w:rFonts w:eastAsiaTheme="minorHAnsi"/>
          <w:sz w:val="20"/>
          <w:szCs w:val="20"/>
        </w:rPr>
        <w:t xml:space="preserve"> geçen dönemde yapılan müracaatlara istinaden düzenlenen teşvik belgeleri, talep edilmesi halinde bu Kararın lehte olan hükümlerinden yararlanır.  </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 xml:space="preserve">(2) Daha önceki kararlara istinaden düzenlenen teşvik belgeleri kapsamında </w:t>
      </w:r>
      <w:proofErr w:type="gramStart"/>
      <w:r w:rsidRPr="00CF2D7A">
        <w:rPr>
          <w:rStyle w:val="Normal1"/>
          <w:rFonts w:eastAsiaTheme="minorHAnsi"/>
          <w:sz w:val="20"/>
          <w:szCs w:val="20"/>
        </w:rPr>
        <w:t>temin</w:t>
      </w:r>
      <w:proofErr w:type="gramEnd"/>
      <w:r w:rsidRPr="00CF2D7A">
        <w:rPr>
          <w:rStyle w:val="Normal1"/>
          <w:rFonts w:eastAsiaTheme="minorHAnsi"/>
          <w:sz w:val="20"/>
          <w:szCs w:val="20"/>
        </w:rPr>
        <w:t xml:space="preserve"> edilen makine ve teçhizatın bu Karara istinaden düzenlenen teşvik belgesine devri halinde, söz konusu makine ve teçhizat için devralan yatırımcı, genel teşvik uygulamaları dışındaki diğer desteklerden yararlanamaz.</w:t>
      </w:r>
    </w:p>
    <w:p w:rsidR="00CF2D7A" w:rsidRPr="00CF2D7A" w:rsidRDefault="00CF2D7A" w:rsidP="00CF2D7A">
      <w:pPr>
        <w:tabs>
          <w:tab w:val="left" w:pos="566"/>
        </w:tabs>
        <w:spacing w:line="240" w:lineRule="exact"/>
        <w:ind w:firstLine="558"/>
        <w:jc w:val="both"/>
        <w:rPr>
          <w:rStyle w:val="Normal1"/>
          <w:rFonts w:eastAsiaTheme="minorHAnsi"/>
          <w:sz w:val="20"/>
          <w:szCs w:val="20"/>
        </w:rPr>
      </w:pPr>
      <w:r w:rsidRPr="00CF2D7A">
        <w:rPr>
          <w:rStyle w:val="Normal1"/>
          <w:rFonts w:eastAsiaTheme="minorHAnsi"/>
          <w:sz w:val="20"/>
          <w:szCs w:val="20"/>
        </w:rPr>
        <w:t xml:space="preserve">(3) 22 nci maddenin ikinci fıkrası ile 24 üncü maddenin ikinci fıkrası daha önceki kararlara istinaden düzenlenmiş teşvik belgelerine de uygulanır. </w:t>
      </w:r>
      <w:proofErr w:type="gramStart"/>
      <w:r w:rsidRPr="00CF2D7A">
        <w:rPr>
          <w:rStyle w:val="Normal1"/>
          <w:rFonts w:eastAsiaTheme="minorHAnsi"/>
          <w:sz w:val="20"/>
          <w:szCs w:val="20"/>
        </w:rPr>
        <w:t>Bu hüküm, iptal edilmiş ancak ilgili kurumlarca müeyyide uygulanmamış veya müeyyide uygulanmasına rağmen henüz tahsil edilmemiş teşvik belgeleri kapsamındaki yatırımlar için de geçerlidir.</w:t>
      </w:r>
      <w:proofErr w:type="gramEnd"/>
    </w:p>
    <w:p w:rsidR="00CF2D7A" w:rsidRPr="00CF2D7A" w:rsidRDefault="00CF2D7A" w:rsidP="00CF2D7A">
      <w:pPr>
        <w:tabs>
          <w:tab w:val="left" w:pos="566"/>
        </w:tabs>
        <w:spacing w:line="240" w:lineRule="exact"/>
        <w:ind w:firstLine="558"/>
        <w:jc w:val="both"/>
        <w:rPr>
          <w:rFonts w:ascii="Times New Roman" w:hAnsi="Times New Roman" w:cs="Times New Roman"/>
          <w:sz w:val="20"/>
          <w:szCs w:val="20"/>
        </w:rPr>
      </w:pPr>
      <w:r w:rsidRPr="00CF2D7A">
        <w:rPr>
          <w:rFonts w:ascii="Times New Roman" w:hAnsi="Times New Roman" w:cs="Times New Roman"/>
          <w:sz w:val="20"/>
          <w:szCs w:val="20"/>
        </w:rPr>
        <w:t>(4) Daha önceki yıllara ait Bakanlar Kurulu Kararlarına istinaden düzenlenmiş teşvik belgelerinden Kaynak Kullanımını Destekleme Primi ihtiva edenlerin tamamlama vizesi işlemleri, ilgili banka tarafından fiziki, mali ve teknik inceleme yapılmak suretiyle tanzim edilmiş olan ve prim ödemesine esas teşkil eden raporlara istinaden doğrudan Bakanlıkça yapılabilir.</w:t>
      </w:r>
    </w:p>
    <w:p w:rsidR="00CF2D7A" w:rsidRPr="00CF2D7A" w:rsidRDefault="00CF2D7A" w:rsidP="00CF2D7A">
      <w:pPr>
        <w:tabs>
          <w:tab w:val="left" w:pos="566"/>
        </w:tabs>
        <w:spacing w:line="240" w:lineRule="exact"/>
        <w:ind w:firstLine="558"/>
        <w:jc w:val="both"/>
        <w:rPr>
          <w:rFonts w:ascii="Times New Roman" w:hAnsi="Times New Roman" w:cs="Times New Roman"/>
          <w:b/>
          <w:sz w:val="20"/>
          <w:szCs w:val="20"/>
        </w:rPr>
      </w:pPr>
      <w:r w:rsidRPr="00CF2D7A">
        <w:rPr>
          <w:rFonts w:ascii="Times New Roman" w:hAnsi="Times New Roman" w:cs="Times New Roman"/>
          <w:sz w:val="20"/>
          <w:szCs w:val="20"/>
        </w:rPr>
        <w:t xml:space="preserve">(5) </w:t>
      </w:r>
      <w:r w:rsidRPr="00CF2D7A">
        <w:rPr>
          <w:rStyle w:val="Normal1"/>
          <w:rFonts w:eastAsiaTheme="minorHAnsi"/>
          <w:sz w:val="20"/>
          <w:szCs w:val="20"/>
        </w:rPr>
        <w:t xml:space="preserve">Van ilinde gerçekleştirilecek olan yatırımlar için düzenlenmiş teşvik belgelerinden, ek süreler dâhil </w:t>
      </w:r>
      <w:proofErr w:type="gramStart"/>
      <w:r w:rsidRPr="00CF2D7A">
        <w:rPr>
          <w:rStyle w:val="Normal1"/>
          <w:rFonts w:eastAsiaTheme="minorHAnsi"/>
          <w:sz w:val="20"/>
          <w:szCs w:val="20"/>
        </w:rPr>
        <w:t>23/10/2011</w:t>
      </w:r>
      <w:proofErr w:type="gramEnd"/>
      <w:r w:rsidRPr="00CF2D7A">
        <w:rPr>
          <w:rStyle w:val="Normal1"/>
          <w:rFonts w:eastAsiaTheme="minorHAnsi"/>
          <w:sz w:val="20"/>
          <w:szCs w:val="20"/>
        </w:rPr>
        <w:t xml:space="preserve"> tarihi itibarıyla yatırım süresi bitmemiş olanlara, talep edilmesi halinde belgede kayıtlı süre kadar ilave süre verilebilir.</w:t>
      </w:r>
      <w:r w:rsidRPr="00CF2D7A">
        <w:rPr>
          <w:rFonts w:ascii="Times New Roman" w:hAnsi="Times New Roman" w:cs="Times New Roman"/>
          <w:b/>
          <w:sz w:val="20"/>
          <w:szCs w:val="20"/>
        </w:rPr>
        <w:t xml:space="preserve"> </w:t>
      </w:r>
    </w:p>
    <w:p w:rsidR="00CF2D7A" w:rsidRPr="00CF2D7A" w:rsidRDefault="00CF2D7A" w:rsidP="00CF2D7A">
      <w:pPr>
        <w:tabs>
          <w:tab w:val="left" w:pos="566"/>
        </w:tabs>
        <w:spacing w:line="240" w:lineRule="exact"/>
        <w:ind w:firstLine="558"/>
        <w:jc w:val="both"/>
        <w:rPr>
          <w:rStyle w:val="Normal1"/>
          <w:rFonts w:eastAsiaTheme="minorHAnsi"/>
          <w:sz w:val="20"/>
          <w:szCs w:val="20"/>
          <w:lang w:val="tr-TR"/>
        </w:rPr>
      </w:pPr>
      <w:r w:rsidRPr="00CF2D7A">
        <w:rPr>
          <w:rStyle w:val="Normal1"/>
          <w:rFonts w:eastAsiaTheme="minorHAnsi"/>
          <w:b/>
          <w:sz w:val="20"/>
          <w:szCs w:val="20"/>
        </w:rPr>
        <w:t>Yürürlük</w:t>
      </w:r>
    </w:p>
    <w:p w:rsidR="00CF2D7A" w:rsidRPr="00CF2D7A" w:rsidRDefault="00CF2D7A" w:rsidP="00CF2D7A">
      <w:pPr>
        <w:tabs>
          <w:tab w:val="left" w:pos="566"/>
        </w:tabs>
        <w:spacing w:line="240" w:lineRule="exact"/>
        <w:ind w:firstLine="558"/>
        <w:jc w:val="both"/>
        <w:rPr>
          <w:rFonts w:ascii="Times New Roman" w:hAnsi="Times New Roman" w:cs="Times New Roman"/>
          <w:sz w:val="20"/>
          <w:szCs w:val="20"/>
        </w:rPr>
      </w:pPr>
      <w:proofErr w:type="gramStart"/>
      <w:r w:rsidRPr="00CF2D7A">
        <w:rPr>
          <w:rStyle w:val="Normal1"/>
          <w:rFonts w:eastAsiaTheme="minorHAnsi"/>
          <w:b/>
          <w:sz w:val="20"/>
          <w:szCs w:val="20"/>
        </w:rPr>
        <w:t>MADDE 31 - (</w:t>
      </w:r>
      <w:r w:rsidRPr="00CF2D7A">
        <w:rPr>
          <w:rStyle w:val="Normal1"/>
          <w:rFonts w:eastAsiaTheme="minorHAnsi"/>
          <w:sz w:val="20"/>
          <w:szCs w:val="20"/>
        </w:rPr>
        <w:t xml:space="preserve">1) </w:t>
      </w:r>
      <w:r w:rsidRPr="00CF2D7A">
        <w:rPr>
          <w:rFonts w:ascii="Times New Roman" w:hAnsi="Times New Roman" w:cs="Times New Roman"/>
          <w:sz w:val="20"/>
          <w:szCs w:val="20"/>
        </w:rPr>
        <w:t>Bu Karar yayımı tarihinde yürürlüğe girer.</w:t>
      </w:r>
      <w:proofErr w:type="gramEnd"/>
      <w:r w:rsidRPr="00CF2D7A">
        <w:rPr>
          <w:rFonts w:ascii="Times New Roman" w:hAnsi="Times New Roman" w:cs="Times New Roman"/>
          <w:sz w:val="20"/>
          <w:szCs w:val="20"/>
        </w:rPr>
        <w:t xml:space="preserve"> </w:t>
      </w:r>
    </w:p>
    <w:p w:rsidR="00CF2D7A" w:rsidRPr="00CF2D7A" w:rsidRDefault="00CF2D7A" w:rsidP="00CF2D7A">
      <w:pPr>
        <w:tabs>
          <w:tab w:val="left" w:pos="566"/>
        </w:tabs>
        <w:spacing w:line="240" w:lineRule="exact"/>
        <w:ind w:firstLine="558"/>
        <w:jc w:val="both"/>
        <w:rPr>
          <w:rStyle w:val="Normal1"/>
          <w:rFonts w:eastAsiaTheme="minorHAnsi"/>
          <w:b/>
          <w:sz w:val="20"/>
          <w:szCs w:val="20"/>
          <w:lang w:val="tr-TR"/>
        </w:rPr>
      </w:pPr>
      <w:r w:rsidRPr="00CF2D7A">
        <w:rPr>
          <w:rStyle w:val="Normal1"/>
          <w:rFonts w:eastAsiaTheme="minorHAnsi"/>
          <w:b/>
          <w:sz w:val="20"/>
          <w:szCs w:val="20"/>
        </w:rPr>
        <w:t>Yürütme</w:t>
      </w:r>
    </w:p>
    <w:p w:rsidR="00CF2D7A" w:rsidRPr="00CF2D7A" w:rsidRDefault="00CF2D7A" w:rsidP="00CF2D7A">
      <w:pPr>
        <w:tabs>
          <w:tab w:val="left" w:pos="566"/>
        </w:tabs>
        <w:spacing w:line="240" w:lineRule="exact"/>
        <w:ind w:firstLine="558"/>
        <w:jc w:val="both"/>
        <w:rPr>
          <w:rStyle w:val="Normal1"/>
          <w:rFonts w:eastAsiaTheme="minorHAnsi"/>
          <w:b/>
          <w:sz w:val="20"/>
          <w:szCs w:val="20"/>
        </w:rPr>
      </w:pPr>
      <w:proofErr w:type="gramStart"/>
      <w:r w:rsidRPr="00CF2D7A">
        <w:rPr>
          <w:rStyle w:val="Normal1"/>
          <w:rFonts w:eastAsiaTheme="minorHAnsi"/>
          <w:b/>
          <w:sz w:val="20"/>
          <w:szCs w:val="20"/>
        </w:rPr>
        <w:t>MADDE 32 - (</w:t>
      </w:r>
      <w:r w:rsidRPr="00CF2D7A">
        <w:rPr>
          <w:rStyle w:val="Normal1"/>
          <w:rFonts w:eastAsiaTheme="minorHAnsi"/>
          <w:sz w:val="20"/>
          <w:szCs w:val="20"/>
        </w:rPr>
        <w:t>1) Bu Karar hükümlerini Ekonomi Bakanı yürütür.</w:t>
      </w:r>
      <w:proofErr w:type="gramEnd"/>
    </w:p>
    <w:p w:rsidR="00CF2D7A" w:rsidRPr="00CF2D7A" w:rsidRDefault="00CF2D7A" w:rsidP="00CF2D7A">
      <w:pPr>
        <w:pStyle w:val="NormalWeb"/>
        <w:jc w:val="center"/>
        <w:rPr>
          <w:color w:val="000080"/>
          <w:sz w:val="20"/>
          <w:szCs w:val="20"/>
        </w:rPr>
      </w:pPr>
    </w:p>
    <w:p w:rsidR="00CF2D7A" w:rsidRPr="00CF2D7A" w:rsidRDefault="00CF2D7A" w:rsidP="00CF2D7A">
      <w:pPr>
        <w:pStyle w:val="NormalWeb"/>
        <w:spacing w:before="80" w:beforeAutospacing="0" w:after="80" w:afterAutospacing="0"/>
        <w:rPr>
          <w:b/>
          <w:sz w:val="20"/>
          <w:szCs w:val="20"/>
        </w:rPr>
      </w:pPr>
      <w:hyperlink r:id="rId4" w:history="1">
        <w:r w:rsidRPr="00CF2D7A">
          <w:rPr>
            <w:rStyle w:val="Kpr"/>
            <w:b/>
            <w:sz w:val="20"/>
            <w:szCs w:val="20"/>
          </w:rPr>
          <w:t>EK-1 için tıklayınız.</w:t>
        </w:r>
      </w:hyperlink>
    </w:p>
    <w:p w:rsidR="00CF2D7A" w:rsidRPr="00CF2D7A" w:rsidRDefault="00CF2D7A" w:rsidP="00CF2D7A">
      <w:pPr>
        <w:pStyle w:val="NormalWeb"/>
        <w:spacing w:before="80" w:beforeAutospacing="0" w:after="80" w:afterAutospacing="0"/>
        <w:rPr>
          <w:b/>
          <w:sz w:val="20"/>
          <w:szCs w:val="20"/>
        </w:rPr>
      </w:pPr>
      <w:hyperlink r:id="rId5" w:history="1">
        <w:r w:rsidRPr="00CF2D7A">
          <w:rPr>
            <w:rStyle w:val="Kpr"/>
            <w:b/>
            <w:sz w:val="20"/>
            <w:szCs w:val="20"/>
          </w:rPr>
          <w:t>EK-2 için tıklayınız.</w:t>
        </w:r>
      </w:hyperlink>
    </w:p>
    <w:p w:rsidR="00CF2D7A" w:rsidRPr="00CF2D7A" w:rsidRDefault="00CF2D7A" w:rsidP="00CF2D7A">
      <w:pPr>
        <w:pStyle w:val="NormalWeb"/>
        <w:spacing w:before="80" w:beforeAutospacing="0" w:after="80" w:afterAutospacing="0"/>
        <w:rPr>
          <w:b/>
          <w:sz w:val="20"/>
          <w:szCs w:val="20"/>
        </w:rPr>
      </w:pPr>
      <w:hyperlink r:id="rId6" w:history="1">
        <w:r w:rsidRPr="00CF2D7A">
          <w:rPr>
            <w:rStyle w:val="Kpr"/>
            <w:b/>
            <w:sz w:val="20"/>
            <w:szCs w:val="20"/>
          </w:rPr>
          <w:t>EK-3 için tıklayınız.</w:t>
        </w:r>
      </w:hyperlink>
    </w:p>
    <w:p w:rsidR="00CF2D7A" w:rsidRPr="00CF2D7A" w:rsidRDefault="00CF2D7A" w:rsidP="00CF2D7A">
      <w:pPr>
        <w:pStyle w:val="NormalWeb"/>
        <w:spacing w:before="80" w:beforeAutospacing="0" w:after="80" w:afterAutospacing="0"/>
        <w:rPr>
          <w:b/>
          <w:sz w:val="20"/>
          <w:szCs w:val="20"/>
        </w:rPr>
      </w:pPr>
      <w:hyperlink r:id="rId7" w:history="1">
        <w:r w:rsidRPr="00CF2D7A">
          <w:rPr>
            <w:rStyle w:val="Kpr"/>
            <w:b/>
            <w:sz w:val="20"/>
            <w:szCs w:val="20"/>
          </w:rPr>
          <w:t>EK-4 için tıklayınız.</w:t>
        </w:r>
      </w:hyperlink>
    </w:p>
    <w:p w:rsidR="00CF2D7A" w:rsidRPr="00CF2D7A" w:rsidRDefault="00CF2D7A" w:rsidP="00CF2D7A">
      <w:pPr>
        <w:pStyle w:val="NormalWeb"/>
        <w:spacing w:before="80" w:beforeAutospacing="0" w:after="80" w:afterAutospacing="0"/>
        <w:rPr>
          <w:b/>
          <w:sz w:val="20"/>
          <w:szCs w:val="20"/>
        </w:rPr>
      </w:pPr>
      <w:hyperlink r:id="rId8" w:history="1">
        <w:r w:rsidRPr="00CF2D7A">
          <w:rPr>
            <w:rStyle w:val="Kpr"/>
            <w:b/>
            <w:sz w:val="20"/>
            <w:szCs w:val="20"/>
          </w:rPr>
          <w:t>EK-5 için tıklayınız.</w:t>
        </w:r>
      </w:hyperlink>
    </w:p>
    <w:p w:rsidR="00CF2D7A" w:rsidRPr="00CF2D7A" w:rsidRDefault="00CF2D7A" w:rsidP="00F17BB7">
      <w:pPr>
        <w:spacing w:after="0" w:line="300" w:lineRule="atLeast"/>
        <w:jc w:val="right"/>
        <w:rPr>
          <w:rFonts w:ascii="Times New Roman" w:eastAsia="Times New Roman" w:hAnsi="Times New Roman" w:cs="Times New Roman"/>
          <w:sz w:val="20"/>
          <w:szCs w:val="20"/>
          <w:lang w:eastAsia="tr-TR"/>
        </w:rPr>
      </w:pPr>
    </w:p>
    <w:sectPr w:rsidR="00CF2D7A"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553DD2"/>
    <w:rsid w:val="00066CA7"/>
    <w:rsid w:val="000C3900"/>
    <w:rsid w:val="000D551C"/>
    <w:rsid w:val="000E7387"/>
    <w:rsid w:val="00107244"/>
    <w:rsid w:val="00140F37"/>
    <w:rsid w:val="002673F0"/>
    <w:rsid w:val="00287F1D"/>
    <w:rsid w:val="002E3193"/>
    <w:rsid w:val="003061B0"/>
    <w:rsid w:val="003D78AE"/>
    <w:rsid w:val="00430027"/>
    <w:rsid w:val="0044301A"/>
    <w:rsid w:val="004756C6"/>
    <w:rsid w:val="005048DF"/>
    <w:rsid w:val="00553DD2"/>
    <w:rsid w:val="00627628"/>
    <w:rsid w:val="006E2913"/>
    <w:rsid w:val="007F3656"/>
    <w:rsid w:val="008628D5"/>
    <w:rsid w:val="009729EE"/>
    <w:rsid w:val="00A8408E"/>
    <w:rsid w:val="00AD42C3"/>
    <w:rsid w:val="00B14E0E"/>
    <w:rsid w:val="00BE27F2"/>
    <w:rsid w:val="00C32A52"/>
    <w:rsid w:val="00CD3904"/>
    <w:rsid w:val="00CF2D7A"/>
    <w:rsid w:val="00D60BF5"/>
    <w:rsid w:val="00D65D15"/>
    <w:rsid w:val="00D83281"/>
    <w:rsid w:val="00E04371"/>
    <w:rsid w:val="00E30BEE"/>
    <w:rsid w:val="00ED523B"/>
    <w:rsid w:val="00F02AC3"/>
    <w:rsid w:val="00F17BB7"/>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2/06/20120619-1-5.doc" TargetMode="External"/><Relationship Id="rId3" Type="http://schemas.openxmlformats.org/officeDocument/2006/relationships/webSettings" Target="webSettings.xml"/><Relationship Id="rId7" Type="http://schemas.openxmlformats.org/officeDocument/2006/relationships/hyperlink" Target="http://www.resmigazete.gov.tr/eskiler/2012/06/20120619-1-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2/06/20120619-1-3.doc" TargetMode="External"/><Relationship Id="rId5" Type="http://schemas.openxmlformats.org/officeDocument/2006/relationships/hyperlink" Target="http://www.resmigazete.gov.tr/eskiler/2012/06/20120619-1-2.xls" TargetMode="External"/><Relationship Id="rId10" Type="http://schemas.openxmlformats.org/officeDocument/2006/relationships/theme" Target="theme/theme1.xml"/><Relationship Id="rId4" Type="http://schemas.openxmlformats.org/officeDocument/2006/relationships/hyperlink" Target="http://www.resmigazete.gov.tr/eskiler/2012/06/20120619-1-1.doc"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7117</Words>
  <Characters>40568</Characters>
  <Application>Microsoft Office Word</Application>
  <DocSecurity>0</DocSecurity>
  <Lines>338</Lines>
  <Paragraphs>95</Paragraphs>
  <ScaleCrop>false</ScaleCrop>
  <Company>TURMOB</Company>
  <LinksUpToDate>false</LinksUpToDate>
  <CharactersWithSpaces>47590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cp:revision>
  <dcterms:created xsi:type="dcterms:W3CDTF">2012-06-01T06:02:00Z</dcterms:created>
  <dcterms:modified xsi:type="dcterms:W3CDTF">2012-06-19T05:41:00Z</dcterms:modified>
</cp:coreProperties>
</file>