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BD25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28335</w:t>
      </w:r>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BD25BC" w:rsidRDefault="00BD25BC" w:rsidP="00F17BB7">
      <w:pPr>
        <w:spacing w:after="0" w:line="300" w:lineRule="atLeast"/>
        <w:jc w:val="right"/>
        <w:rPr>
          <w:rFonts w:ascii="Times New Roman" w:eastAsia="Times New Roman" w:hAnsi="Times New Roman" w:cs="Times New Roman"/>
          <w:sz w:val="20"/>
          <w:szCs w:val="20"/>
          <w:lang w:eastAsia="tr-TR"/>
        </w:rPr>
      </w:pPr>
    </w:p>
    <w:p w:rsidR="005659EC" w:rsidRDefault="005659EC" w:rsidP="005659EC">
      <w:pPr>
        <w:tabs>
          <w:tab w:val="left" w:pos="566"/>
        </w:tabs>
        <w:spacing w:after="0" w:line="240" w:lineRule="exact"/>
        <w:ind w:firstLine="566"/>
        <w:rPr>
          <w:rFonts w:ascii="Times New Roman" w:eastAsia="ヒラギノ明朝 Pro W3" w:hAnsi="Times New Roman" w:cs="Times New Roman"/>
          <w:sz w:val="18"/>
          <w:szCs w:val="18"/>
          <w:u w:val="single"/>
        </w:rPr>
      </w:pPr>
      <w:r w:rsidRPr="005659EC">
        <w:rPr>
          <w:rFonts w:ascii="Times New Roman" w:eastAsia="ヒラギノ明朝 Pro W3" w:hAnsi="Times New Roman" w:cs="Times New Roman"/>
          <w:sz w:val="18"/>
          <w:szCs w:val="18"/>
          <w:u w:val="single"/>
        </w:rPr>
        <w:t>Sermaye Piyasası Kurulundan:</w:t>
      </w:r>
    </w:p>
    <w:p w:rsidR="005659EC" w:rsidRPr="005659EC" w:rsidRDefault="005659EC" w:rsidP="005659EC">
      <w:pPr>
        <w:tabs>
          <w:tab w:val="left" w:pos="566"/>
        </w:tabs>
        <w:spacing w:after="0" w:line="240" w:lineRule="exact"/>
        <w:ind w:firstLine="566"/>
        <w:rPr>
          <w:rFonts w:ascii="Times New Roman" w:eastAsia="ヒラギノ明朝 Pro W3" w:hAnsi="Times New Roman" w:cs="Times New Roman"/>
          <w:sz w:val="18"/>
          <w:szCs w:val="18"/>
          <w:u w:val="single"/>
        </w:rPr>
      </w:pPr>
    </w:p>
    <w:p w:rsidR="005659EC" w:rsidRPr="005659EC" w:rsidRDefault="005659EC" w:rsidP="005659EC">
      <w:pPr>
        <w:spacing w:after="0" w:line="240" w:lineRule="exact"/>
        <w:jc w:val="center"/>
        <w:rPr>
          <w:rFonts w:ascii="Times New Roman" w:eastAsia="ヒラギノ明朝 Pro W3" w:hAnsi="Times New Roman" w:cs="Times New Roman"/>
          <w:b/>
          <w:sz w:val="18"/>
          <w:szCs w:val="18"/>
        </w:rPr>
      </w:pPr>
      <w:r w:rsidRPr="005659EC">
        <w:rPr>
          <w:rFonts w:ascii="Times New Roman" w:eastAsia="ヒラギノ明朝 Pro W3" w:hAnsi="Times New Roman" w:cs="Times New Roman"/>
          <w:b/>
          <w:sz w:val="18"/>
          <w:szCs w:val="18"/>
        </w:rPr>
        <w:t xml:space="preserve">KURUMSAL YÖNETİM İLKELERİNİN BELİRLENMESİNE VE </w:t>
      </w:r>
    </w:p>
    <w:p w:rsidR="005659EC" w:rsidRPr="005659EC" w:rsidRDefault="005659EC" w:rsidP="005659EC">
      <w:pPr>
        <w:spacing w:after="0" w:line="240" w:lineRule="exact"/>
        <w:jc w:val="center"/>
        <w:rPr>
          <w:rFonts w:ascii="Times New Roman" w:eastAsia="ヒラギノ明朝 Pro W3" w:hAnsi="Times New Roman" w:cs="Times New Roman"/>
          <w:b/>
          <w:sz w:val="18"/>
          <w:szCs w:val="18"/>
        </w:rPr>
      </w:pPr>
      <w:r w:rsidRPr="005659EC">
        <w:rPr>
          <w:rFonts w:ascii="Times New Roman" w:eastAsia="ヒラギノ明朝 Pro W3" w:hAnsi="Times New Roman" w:cs="Times New Roman"/>
          <w:b/>
          <w:sz w:val="18"/>
          <w:szCs w:val="18"/>
        </w:rPr>
        <w:t xml:space="preserve">UYGULANMASINA İLİŞKİN TEBLİĞ’DE DEĞİŞİKLİK </w:t>
      </w:r>
    </w:p>
    <w:p w:rsidR="005659EC" w:rsidRPr="005659EC" w:rsidRDefault="005659EC" w:rsidP="005659EC">
      <w:pPr>
        <w:spacing w:after="0" w:line="240" w:lineRule="exact"/>
        <w:jc w:val="center"/>
        <w:rPr>
          <w:rFonts w:ascii="Times New Roman" w:eastAsia="ヒラギノ明朝 Pro W3" w:hAnsi="Times New Roman" w:cs="Times New Roman"/>
          <w:b/>
          <w:sz w:val="18"/>
          <w:szCs w:val="18"/>
        </w:rPr>
      </w:pPr>
      <w:r w:rsidRPr="005659EC">
        <w:rPr>
          <w:rFonts w:ascii="Times New Roman" w:eastAsia="ヒラギノ明朝 Pro W3" w:hAnsi="Times New Roman" w:cs="Times New Roman"/>
          <w:b/>
          <w:sz w:val="18"/>
          <w:szCs w:val="18"/>
        </w:rPr>
        <w:t>YAPILMASINA DAİR TEBLİĞ</w:t>
      </w:r>
    </w:p>
    <w:p w:rsidR="005659EC" w:rsidRDefault="005659EC" w:rsidP="005659EC">
      <w:pPr>
        <w:spacing w:after="0" w:line="240" w:lineRule="exact"/>
        <w:jc w:val="center"/>
        <w:rPr>
          <w:rFonts w:ascii="Times New Roman" w:eastAsia="ヒラギノ明朝 Pro W3" w:hAnsi="Times New Roman" w:cs="Times New Roman"/>
          <w:b/>
          <w:sz w:val="18"/>
          <w:szCs w:val="18"/>
        </w:rPr>
      </w:pPr>
      <w:r w:rsidRPr="005659EC">
        <w:rPr>
          <w:rFonts w:ascii="Times New Roman" w:eastAsia="ヒラギノ明朝 Pro W3" w:hAnsi="Times New Roman" w:cs="Times New Roman"/>
          <w:b/>
          <w:sz w:val="18"/>
          <w:szCs w:val="18"/>
        </w:rPr>
        <w:t>(SERİ: IV NO: 60)</w:t>
      </w:r>
    </w:p>
    <w:p w:rsidR="005659EC" w:rsidRPr="005659EC" w:rsidRDefault="005659EC" w:rsidP="005659EC">
      <w:pPr>
        <w:spacing w:after="0" w:line="240" w:lineRule="exact"/>
        <w:jc w:val="center"/>
        <w:rPr>
          <w:rFonts w:ascii="Times New Roman" w:eastAsia="ヒラギノ明朝 Pro W3" w:hAnsi="Times New Roman" w:cs="Times New Roman"/>
          <w:b/>
          <w:sz w:val="18"/>
          <w:szCs w:val="18"/>
        </w:rPr>
      </w:pP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b/>
          <w:bCs/>
          <w:sz w:val="18"/>
          <w:szCs w:val="18"/>
        </w:rPr>
        <w:t xml:space="preserve">MADDE 1 – </w:t>
      </w:r>
      <w:r w:rsidRPr="005659EC">
        <w:rPr>
          <w:rFonts w:ascii="Times New Roman" w:eastAsia="ヒラギノ明朝 Pro W3" w:hAnsi="Times New Roman" w:cs="Times New Roman"/>
          <w:sz w:val="18"/>
          <w:szCs w:val="18"/>
        </w:rPr>
        <w:t>30/12/2011 tarihli ve 28158 sayılı Resmî Gazete’de yayımlanan Seri: IV No: 56 sayılı Kurumsal Yönetim İlkelerinin Belirlenmesine ve Uygulanmasına İlişkin Tebliğ’in 5 inci maddesinin sekizinci fıkrasından sonra gelmek üzere aşağıdaki fıkra eklenmiştir.</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sz w:val="18"/>
          <w:szCs w:val="18"/>
        </w:rPr>
        <w:t>“(9) Ana faaliyet konusu, kamu hizmeti vermek üzere kamu kurum ve kuruluşları tarafından süreli veya süresiz olarak verilmiş bir lisansın veya bir imtiyazın kullanılması olan veya kamu kurum ve kuruluşlarının imtiyazlı pay sahibi olduğu Borsa şirketlerinin bağımsız yönetim kurulu üyeleri için, Kurul’un uygun görüşünün alınması koşuluyla, 4.3.6 numaralı ilke ile 4.3.7 numaralı ilkenin (d) ve (f) bentlerinde belirtilen kriterler uygulanmaz.”</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b/>
          <w:sz w:val="18"/>
          <w:szCs w:val="18"/>
        </w:rPr>
        <w:t xml:space="preserve">MADDE 2 – </w:t>
      </w:r>
      <w:r w:rsidRPr="005659EC">
        <w:rPr>
          <w:rFonts w:ascii="Times New Roman" w:eastAsia="ヒラギノ明朝 Pro W3" w:hAnsi="Times New Roman" w:cs="Times New Roman"/>
          <w:sz w:val="18"/>
          <w:szCs w:val="18"/>
        </w:rPr>
        <w:t>Aynı Tebliğin ekinde yer alan “Sermaye Piyasası Kurulu Kurumsal Yönetim İlkeleri”nin 4.3.7 numaralı maddesinin (a) bendi aşağıdaki şekilde değiştirilmiştir.</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sz w:val="18"/>
          <w:szCs w:val="18"/>
        </w:rPr>
        <w:t>“a) Şirket, şirketin ilişkili taraflarından biri veya şirket sermayesinde doğrudan veya dolaylı olarak %5 veya daha fazla paya sahip hissedarların yönetim veya sermaye bakımından ilişkili olduğu tüzel kişiler ile kendisi, eşi ve ikinci dereceye kadar kan ve sıhri hısımları arasında, son beş yıl içinde, doğrudan veya dolaylı önemli görev ve sorumluluklar üstlenecek yönetici pozisyonunda istihdam, sermaye veya önemli nitelikte ticari ilişkinin kurulmamış olması,”</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b/>
          <w:sz w:val="18"/>
          <w:szCs w:val="18"/>
        </w:rPr>
        <w:t xml:space="preserve">MADDE 3 – </w:t>
      </w:r>
      <w:r w:rsidRPr="005659EC">
        <w:rPr>
          <w:rFonts w:ascii="Times New Roman" w:eastAsia="ヒラギノ明朝 Pro W3" w:hAnsi="Times New Roman" w:cs="Times New Roman"/>
          <w:sz w:val="18"/>
          <w:szCs w:val="18"/>
        </w:rPr>
        <w:t>Aynı Tebliğin ekinde yer alan “Sermaye Piyasası Kurulu Kurumsal Yönetim İlkeleri”nin 4.3.7 numaralı maddesinin (f) bendi aşağıdaki şekilde değiştirilmiştir.</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sz w:val="18"/>
          <w:szCs w:val="18"/>
        </w:rPr>
        <w:t>“Bağlı oldukları mevzuata uygun olması şartıyla üniversite öğretim üyeleri hariç, kamu kurum ve kuruluşlarında üye olarak seçildikten sonra tam zamanlı çalışmıyor olması,”</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b/>
          <w:sz w:val="18"/>
          <w:szCs w:val="18"/>
        </w:rPr>
        <w:t xml:space="preserve">MADDE 4 – </w:t>
      </w:r>
      <w:r w:rsidRPr="005659EC">
        <w:rPr>
          <w:rFonts w:ascii="Times New Roman" w:eastAsia="ヒラギノ明朝 Pro W3" w:hAnsi="Times New Roman" w:cs="Times New Roman"/>
          <w:sz w:val="18"/>
          <w:szCs w:val="18"/>
        </w:rPr>
        <w:t>Bu Tebliğ yayımı tarihinde yürürlüğe girer.</w:t>
      </w:r>
    </w:p>
    <w:p w:rsidR="005659EC" w:rsidRPr="005659EC" w:rsidRDefault="005659EC" w:rsidP="005659EC">
      <w:pPr>
        <w:tabs>
          <w:tab w:val="left" w:pos="566"/>
        </w:tabs>
        <w:spacing w:after="0" w:line="240" w:lineRule="exact"/>
        <w:ind w:firstLine="566"/>
        <w:jc w:val="both"/>
        <w:rPr>
          <w:rFonts w:ascii="Times New Roman" w:eastAsia="ヒラギノ明朝 Pro W3" w:hAnsi="Times New Roman" w:cs="Times New Roman"/>
          <w:sz w:val="18"/>
          <w:szCs w:val="18"/>
        </w:rPr>
      </w:pPr>
      <w:r w:rsidRPr="005659EC">
        <w:rPr>
          <w:rFonts w:ascii="Times New Roman" w:eastAsia="ヒラギノ明朝 Pro W3" w:hAnsi="Times New Roman" w:cs="Times New Roman"/>
          <w:b/>
          <w:sz w:val="18"/>
          <w:szCs w:val="18"/>
        </w:rPr>
        <w:t xml:space="preserve">MADDE 5 – </w:t>
      </w:r>
      <w:r w:rsidRPr="005659EC">
        <w:rPr>
          <w:rFonts w:ascii="Times New Roman" w:eastAsia="ヒラギノ明朝 Pro W3" w:hAnsi="Times New Roman" w:cs="Times New Roman"/>
          <w:sz w:val="18"/>
          <w:szCs w:val="18"/>
        </w:rPr>
        <w:t>Bu Tebliğ hükümlerini Sermaye Piyasası Kurulu yürütür.</w:t>
      </w:r>
    </w:p>
    <w:p w:rsidR="005659EC" w:rsidRPr="00CF2D7A" w:rsidRDefault="005659EC" w:rsidP="00F17BB7">
      <w:pPr>
        <w:spacing w:after="0" w:line="300" w:lineRule="atLeast"/>
        <w:jc w:val="right"/>
        <w:rPr>
          <w:rFonts w:ascii="Times New Roman" w:eastAsia="Times New Roman" w:hAnsi="Times New Roman" w:cs="Times New Roman"/>
          <w:sz w:val="20"/>
          <w:szCs w:val="20"/>
          <w:lang w:eastAsia="tr-TR"/>
        </w:rPr>
      </w:pPr>
    </w:p>
    <w:sectPr w:rsidR="005659EC"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27FCC"/>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5659EC"/>
    <w:rsid w:val="006241F8"/>
    <w:rsid w:val="00627628"/>
    <w:rsid w:val="006E2913"/>
    <w:rsid w:val="007D3A13"/>
    <w:rsid w:val="007F3656"/>
    <w:rsid w:val="008323BF"/>
    <w:rsid w:val="008628D5"/>
    <w:rsid w:val="00935012"/>
    <w:rsid w:val="009729EE"/>
    <w:rsid w:val="009A3F85"/>
    <w:rsid w:val="00A77DDB"/>
    <w:rsid w:val="00A8408E"/>
    <w:rsid w:val="00AD42C3"/>
    <w:rsid w:val="00B14E0E"/>
    <w:rsid w:val="00BD25BC"/>
    <w:rsid w:val="00BE27F2"/>
    <w:rsid w:val="00C32A52"/>
    <w:rsid w:val="00CD3904"/>
    <w:rsid w:val="00CF2D7A"/>
    <w:rsid w:val="00D439D6"/>
    <w:rsid w:val="00D60BF5"/>
    <w:rsid w:val="00D65D15"/>
    <w:rsid w:val="00D83281"/>
    <w:rsid w:val="00DB51D0"/>
    <w:rsid w:val="00E04371"/>
    <w:rsid w:val="00E30BEE"/>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1713</Characters>
  <Application>Microsoft Office Word</Application>
  <DocSecurity>0</DocSecurity>
  <Lines>14</Lines>
  <Paragraphs>4</Paragraphs>
  <ScaleCrop>false</ScaleCrop>
  <Company>TURMOB</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cp:revision>
  <dcterms:created xsi:type="dcterms:W3CDTF">2012-06-01T06:02:00Z</dcterms:created>
  <dcterms:modified xsi:type="dcterms:W3CDTF">2012-06-26T05:22:00Z</dcterms:modified>
</cp:coreProperties>
</file>