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28337</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E471B6" w:rsidRDefault="00E471B6" w:rsidP="00F17BB7">
      <w:pPr>
        <w:spacing w:after="0" w:line="300" w:lineRule="atLeast"/>
        <w:jc w:val="right"/>
        <w:rPr>
          <w:rFonts w:ascii="Times New Roman" w:eastAsia="Times New Roman" w:hAnsi="Times New Roman" w:cs="Times New Roman"/>
          <w:sz w:val="20"/>
          <w:szCs w:val="20"/>
          <w:lang w:eastAsia="tr-TR"/>
        </w:rPr>
      </w:pPr>
    </w:p>
    <w:p w:rsidR="000A177A" w:rsidRDefault="000A177A" w:rsidP="000A177A">
      <w:pPr>
        <w:spacing w:line="240" w:lineRule="exact"/>
        <w:ind w:firstLine="567"/>
        <w:jc w:val="both"/>
        <w:rPr>
          <w:b/>
          <w:bCs/>
          <w:sz w:val="18"/>
          <w:szCs w:val="18"/>
          <w:u w:val="single"/>
        </w:rPr>
      </w:pPr>
      <w:r>
        <w:rPr>
          <w:b/>
          <w:bCs/>
          <w:sz w:val="18"/>
          <w:szCs w:val="18"/>
          <w:u w:val="single"/>
        </w:rPr>
        <w:t>Bankacılık Düzenleme ve Denetleme Kurumundan:</w:t>
      </w:r>
    </w:p>
    <w:p w:rsidR="000A177A" w:rsidRDefault="000A177A" w:rsidP="000A177A">
      <w:pPr>
        <w:spacing w:line="240" w:lineRule="exact"/>
        <w:jc w:val="center"/>
        <w:rPr>
          <w:b/>
          <w:sz w:val="18"/>
          <w:szCs w:val="18"/>
        </w:rPr>
      </w:pPr>
      <w:r>
        <w:rPr>
          <w:b/>
          <w:sz w:val="18"/>
          <w:szCs w:val="18"/>
        </w:rPr>
        <w:t>OPSİYONLARDAN KAYNAKLANAN PİYASA RİSKİ İÇİN STANDART METODA GÖRE SERMAYE</w:t>
      </w:r>
    </w:p>
    <w:p w:rsidR="000A177A" w:rsidRDefault="000A177A" w:rsidP="000A177A">
      <w:pPr>
        <w:spacing w:line="240" w:lineRule="exact"/>
        <w:jc w:val="center"/>
        <w:rPr>
          <w:b/>
          <w:bCs/>
          <w:sz w:val="18"/>
          <w:szCs w:val="18"/>
        </w:rPr>
      </w:pPr>
      <w:r>
        <w:rPr>
          <w:b/>
          <w:sz w:val="18"/>
          <w:szCs w:val="18"/>
        </w:rPr>
        <w:t>YÜKÜMLÜLÜĞÜ HESAPLANMASINA İLİŞKİN TEBLİĞ</w:t>
      </w:r>
    </w:p>
    <w:p w:rsidR="000A177A" w:rsidRDefault="000A177A" w:rsidP="000A177A">
      <w:pPr>
        <w:spacing w:line="240" w:lineRule="exact"/>
        <w:jc w:val="center"/>
        <w:rPr>
          <w:b/>
          <w:bCs/>
          <w:sz w:val="18"/>
          <w:szCs w:val="18"/>
        </w:rPr>
      </w:pPr>
    </w:p>
    <w:p w:rsidR="000A177A" w:rsidRDefault="000A177A" w:rsidP="000A177A">
      <w:pPr>
        <w:spacing w:line="240" w:lineRule="exact"/>
        <w:jc w:val="center"/>
        <w:rPr>
          <w:b/>
          <w:bCs/>
          <w:sz w:val="18"/>
          <w:szCs w:val="18"/>
        </w:rPr>
      </w:pPr>
      <w:r>
        <w:rPr>
          <w:b/>
          <w:bCs/>
          <w:sz w:val="18"/>
          <w:szCs w:val="18"/>
        </w:rPr>
        <w:t>BİRİNCİ BÖLÜM</w:t>
      </w:r>
    </w:p>
    <w:p w:rsidR="000A177A" w:rsidRDefault="000A177A" w:rsidP="000A177A">
      <w:pPr>
        <w:spacing w:line="240" w:lineRule="exact"/>
        <w:jc w:val="center"/>
        <w:rPr>
          <w:b/>
          <w:bCs/>
          <w:sz w:val="18"/>
          <w:szCs w:val="18"/>
        </w:rPr>
      </w:pPr>
      <w:r>
        <w:rPr>
          <w:b/>
          <w:sz w:val="18"/>
          <w:szCs w:val="18"/>
        </w:rPr>
        <w:t>Amaç ve Kapsam, Dayanak ve Tanımlar</w:t>
      </w:r>
    </w:p>
    <w:p w:rsidR="000A177A" w:rsidRDefault="000A177A" w:rsidP="000A177A">
      <w:pPr>
        <w:pStyle w:val="Balk1"/>
        <w:spacing w:before="0" w:after="0" w:line="240" w:lineRule="exact"/>
        <w:ind w:firstLine="567"/>
        <w:jc w:val="both"/>
        <w:rPr>
          <w:rFonts w:ascii="Times New Roman" w:hAnsi="Times New Roman" w:cs="Times New Roman"/>
          <w:sz w:val="18"/>
          <w:szCs w:val="18"/>
        </w:rPr>
      </w:pPr>
      <w:r>
        <w:rPr>
          <w:rFonts w:ascii="Times New Roman" w:hAnsi="Times New Roman" w:cs="Times New Roman"/>
          <w:sz w:val="18"/>
          <w:szCs w:val="18"/>
        </w:rPr>
        <w:t>Amaç ve kapsam</w:t>
      </w:r>
    </w:p>
    <w:p w:rsidR="000A177A" w:rsidRDefault="000A177A" w:rsidP="000A177A">
      <w:pPr>
        <w:spacing w:line="240" w:lineRule="exact"/>
        <w:ind w:firstLine="567"/>
        <w:jc w:val="both"/>
        <w:rPr>
          <w:rFonts w:ascii="Times New Roman" w:hAnsi="Times New Roman" w:cs="Times New Roman"/>
          <w:sz w:val="18"/>
          <w:szCs w:val="18"/>
        </w:rPr>
      </w:pPr>
      <w:r>
        <w:rPr>
          <w:b/>
          <w:bCs/>
          <w:sz w:val="18"/>
          <w:szCs w:val="18"/>
        </w:rPr>
        <w:t xml:space="preserve">MADDE 1- </w:t>
      </w:r>
      <w:r>
        <w:rPr>
          <w:bCs/>
          <w:sz w:val="18"/>
          <w:szCs w:val="18"/>
        </w:rPr>
        <w:t>(1)</w:t>
      </w:r>
      <w:r>
        <w:rPr>
          <w:b/>
          <w:bCs/>
          <w:sz w:val="18"/>
          <w:szCs w:val="18"/>
        </w:rPr>
        <w:t xml:space="preserve"> </w:t>
      </w:r>
      <w:r>
        <w:rPr>
          <w:sz w:val="18"/>
          <w:szCs w:val="18"/>
        </w:rPr>
        <w:t xml:space="preserve">Bu Tebliğ, </w:t>
      </w:r>
      <w:proofErr w:type="gramStart"/>
      <w:r>
        <w:rPr>
          <w:sz w:val="18"/>
          <w:szCs w:val="18"/>
        </w:rPr>
        <w:t>opsiyonlardan</w:t>
      </w:r>
      <w:proofErr w:type="gramEnd"/>
      <w:r>
        <w:rPr>
          <w:sz w:val="18"/>
          <w:szCs w:val="18"/>
        </w:rPr>
        <w:t xml:space="preserve"> kaynaklanan piyasa riski için bankaların standart metoda göre sermaye yükümlülüğünün hesaplanmasına ilişkin usul ve esasları belirlemek amacıyla düzenlemiştir.</w:t>
      </w:r>
    </w:p>
    <w:p w:rsidR="000A177A" w:rsidRDefault="000A177A" w:rsidP="000A177A">
      <w:pPr>
        <w:spacing w:line="240" w:lineRule="exact"/>
        <w:ind w:firstLine="567"/>
        <w:jc w:val="both"/>
        <w:rPr>
          <w:b/>
          <w:bCs/>
          <w:sz w:val="18"/>
          <w:szCs w:val="18"/>
        </w:rPr>
      </w:pPr>
      <w:r>
        <w:rPr>
          <w:b/>
          <w:bCs/>
          <w:sz w:val="18"/>
          <w:szCs w:val="18"/>
        </w:rPr>
        <w:t>Dayanak</w:t>
      </w:r>
    </w:p>
    <w:p w:rsidR="000A177A" w:rsidRDefault="000A177A" w:rsidP="000A177A">
      <w:pPr>
        <w:spacing w:line="240" w:lineRule="exact"/>
        <w:ind w:firstLine="567"/>
        <w:jc w:val="both"/>
        <w:rPr>
          <w:sz w:val="18"/>
          <w:szCs w:val="18"/>
        </w:rPr>
      </w:pPr>
      <w:r>
        <w:rPr>
          <w:b/>
          <w:bCs/>
          <w:sz w:val="18"/>
          <w:szCs w:val="18"/>
        </w:rPr>
        <w:t xml:space="preserve">MADDE 2- </w:t>
      </w:r>
      <w:r>
        <w:rPr>
          <w:bCs/>
          <w:sz w:val="18"/>
          <w:szCs w:val="18"/>
        </w:rPr>
        <w:t>(2)</w:t>
      </w:r>
      <w:r>
        <w:rPr>
          <w:b/>
          <w:bCs/>
          <w:sz w:val="18"/>
          <w:szCs w:val="18"/>
        </w:rPr>
        <w:t xml:space="preserve"> </w:t>
      </w:r>
      <w:r>
        <w:rPr>
          <w:sz w:val="18"/>
          <w:szCs w:val="18"/>
        </w:rPr>
        <w:t xml:space="preserve">Bu Tebliğ, </w:t>
      </w:r>
      <w:proofErr w:type="gramStart"/>
      <w:r>
        <w:rPr>
          <w:sz w:val="18"/>
          <w:szCs w:val="18"/>
        </w:rPr>
        <w:t>19/10/2005</w:t>
      </w:r>
      <w:proofErr w:type="gramEnd"/>
      <w:r>
        <w:rPr>
          <w:sz w:val="18"/>
          <w:szCs w:val="18"/>
        </w:rPr>
        <w:t xml:space="preserve"> tarihli ve 5411 sayılı Bankacılık Kanununun 45 inci, 43 üncü ve 93 üncü maddelerine ve Bankaların Sermaye Yeterliliğinin Ölçülmesine ve Değerlendirilmesine İlişkin Yönetmeliğin 9 uncu maddesinin dördüncü fıkrasına dayanılarak hazırlanmıştır.</w:t>
      </w:r>
    </w:p>
    <w:p w:rsidR="000A177A" w:rsidRDefault="000A177A" w:rsidP="000A177A">
      <w:pPr>
        <w:spacing w:line="240" w:lineRule="exact"/>
        <w:ind w:firstLine="567"/>
        <w:jc w:val="both"/>
        <w:rPr>
          <w:b/>
          <w:bCs/>
          <w:sz w:val="18"/>
          <w:szCs w:val="18"/>
        </w:rPr>
      </w:pPr>
      <w:r>
        <w:rPr>
          <w:b/>
          <w:bCs/>
          <w:sz w:val="18"/>
          <w:szCs w:val="18"/>
        </w:rPr>
        <w:t>Tanımlar</w:t>
      </w:r>
    </w:p>
    <w:p w:rsidR="000A177A" w:rsidRDefault="000A177A" w:rsidP="000A177A">
      <w:pPr>
        <w:spacing w:line="240" w:lineRule="exact"/>
        <w:ind w:firstLine="567"/>
        <w:jc w:val="both"/>
        <w:rPr>
          <w:sz w:val="18"/>
          <w:szCs w:val="18"/>
        </w:rPr>
      </w:pPr>
      <w:r>
        <w:rPr>
          <w:b/>
          <w:bCs/>
          <w:sz w:val="18"/>
          <w:szCs w:val="18"/>
        </w:rPr>
        <w:t xml:space="preserve">MADDE 3- </w:t>
      </w:r>
      <w:r>
        <w:rPr>
          <w:bCs/>
          <w:sz w:val="18"/>
          <w:szCs w:val="18"/>
        </w:rPr>
        <w:t>(3)</w:t>
      </w:r>
      <w:r>
        <w:rPr>
          <w:b/>
          <w:bCs/>
          <w:sz w:val="18"/>
          <w:szCs w:val="18"/>
        </w:rPr>
        <w:t xml:space="preserve"> </w:t>
      </w:r>
      <w:r>
        <w:rPr>
          <w:sz w:val="18"/>
          <w:szCs w:val="18"/>
        </w:rPr>
        <w:t>Bu Tebliğde yer alan;</w:t>
      </w:r>
    </w:p>
    <w:p w:rsidR="000A177A" w:rsidRDefault="000A177A" w:rsidP="000A177A">
      <w:pPr>
        <w:pStyle w:val="GvdeMetniGirintisi3"/>
        <w:spacing w:after="0" w:line="240" w:lineRule="exact"/>
        <w:ind w:left="0" w:firstLine="567"/>
        <w:rPr>
          <w:bCs/>
          <w:sz w:val="18"/>
          <w:szCs w:val="18"/>
        </w:rPr>
      </w:pPr>
      <w:r>
        <w:rPr>
          <w:bCs/>
          <w:sz w:val="18"/>
          <w:szCs w:val="18"/>
        </w:rPr>
        <w:t xml:space="preserve">a) Alım </w:t>
      </w:r>
      <w:proofErr w:type="gramStart"/>
      <w:r>
        <w:rPr>
          <w:bCs/>
          <w:sz w:val="18"/>
          <w:szCs w:val="18"/>
        </w:rPr>
        <w:t>opsiyonu</w:t>
      </w:r>
      <w:proofErr w:type="gramEnd"/>
      <w:r>
        <w:rPr>
          <w:bCs/>
          <w:sz w:val="18"/>
          <w:szCs w:val="18"/>
        </w:rPr>
        <w:t>: Opsiyonu alan tarafa, sözleşmenin vadesinde veya vadeye kadar olan süre içinde sözleşmeye konu varlığı, sözleşmede belirtilen fiyat ve miktardan satın alma hakkı veren opsiyonu,</w:t>
      </w:r>
    </w:p>
    <w:p w:rsidR="000A177A" w:rsidRDefault="000A177A" w:rsidP="000A177A">
      <w:pPr>
        <w:pStyle w:val="GvdeMetniGirintisi3"/>
        <w:spacing w:after="0" w:line="240" w:lineRule="exact"/>
        <w:ind w:left="0" w:firstLine="567"/>
        <w:rPr>
          <w:sz w:val="18"/>
          <w:szCs w:val="18"/>
        </w:rPr>
      </w:pPr>
      <w:r>
        <w:rPr>
          <w:bCs/>
          <w:sz w:val="18"/>
          <w:szCs w:val="18"/>
        </w:rPr>
        <w:t xml:space="preserve">b) </w:t>
      </w:r>
      <w:r>
        <w:rPr>
          <w:sz w:val="18"/>
          <w:szCs w:val="18"/>
        </w:rPr>
        <w:t>Banka: Kanunun 3 üncü maddesinde tanımlanan bankaları,</w:t>
      </w:r>
    </w:p>
    <w:p w:rsidR="000A177A" w:rsidRDefault="000A177A" w:rsidP="000A177A">
      <w:pPr>
        <w:pStyle w:val="GvdeMetniGirintisi3"/>
        <w:spacing w:after="0" w:line="240" w:lineRule="exact"/>
        <w:ind w:left="0" w:firstLine="567"/>
        <w:rPr>
          <w:bCs/>
          <w:sz w:val="18"/>
          <w:szCs w:val="18"/>
        </w:rPr>
      </w:pPr>
      <w:r>
        <w:rPr>
          <w:bCs/>
          <w:sz w:val="18"/>
          <w:szCs w:val="18"/>
        </w:rPr>
        <w:t xml:space="preserve">c) </w:t>
      </w:r>
      <w:proofErr w:type="spellStart"/>
      <w:r>
        <w:rPr>
          <w:bCs/>
          <w:sz w:val="18"/>
          <w:szCs w:val="18"/>
        </w:rPr>
        <w:t>Başabaş</w:t>
      </w:r>
      <w:proofErr w:type="spellEnd"/>
      <w:r>
        <w:rPr>
          <w:bCs/>
          <w:sz w:val="18"/>
          <w:szCs w:val="18"/>
        </w:rPr>
        <w:t>-</w:t>
      </w:r>
      <w:proofErr w:type="gramStart"/>
      <w:r>
        <w:rPr>
          <w:bCs/>
          <w:sz w:val="18"/>
          <w:szCs w:val="18"/>
        </w:rPr>
        <w:t>opsiyon</w:t>
      </w:r>
      <w:proofErr w:type="gramEnd"/>
      <w:r>
        <w:rPr>
          <w:bCs/>
          <w:sz w:val="18"/>
          <w:szCs w:val="18"/>
        </w:rPr>
        <w:t>: Sözleşmeye konu varlığın piyasa fiyatının opsiyonun kullanım fiyatına eşit olması durumu,</w:t>
      </w:r>
    </w:p>
    <w:p w:rsidR="000A177A" w:rsidRDefault="000A177A" w:rsidP="000A177A">
      <w:pPr>
        <w:pStyle w:val="GvdeMetniGirintisi3"/>
        <w:spacing w:after="0" w:line="240" w:lineRule="exact"/>
        <w:ind w:left="0" w:firstLine="567"/>
        <w:rPr>
          <w:bCs/>
          <w:sz w:val="18"/>
          <w:szCs w:val="18"/>
        </w:rPr>
      </w:pPr>
      <w:r>
        <w:rPr>
          <w:bCs/>
          <w:sz w:val="18"/>
          <w:szCs w:val="18"/>
        </w:rPr>
        <w:t xml:space="preserve">ç) Delta: Opsiyonun piyasa fiyatının, </w:t>
      </w:r>
      <w:proofErr w:type="gramStart"/>
      <w:r>
        <w:rPr>
          <w:bCs/>
          <w:sz w:val="18"/>
          <w:szCs w:val="18"/>
        </w:rPr>
        <w:t>opsiyon</w:t>
      </w:r>
      <w:proofErr w:type="gramEnd"/>
      <w:r>
        <w:rPr>
          <w:bCs/>
          <w:sz w:val="18"/>
          <w:szCs w:val="18"/>
        </w:rPr>
        <w:t xml:space="preserve"> sözleşmesine konu varlığın piyasa fiyatında meydana gelebilecek değişmeye olan duyarlılığını,</w:t>
      </w:r>
    </w:p>
    <w:p w:rsidR="000A177A" w:rsidRDefault="000A177A" w:rsidP="000A177A">
      <w:pPr>
        <w:pStyle w:val="GvdeMetniGirintisi3"/>
        <w:spacing w:after="0" w:line="240" w:lineRule="exact"/>
        <w:ind w:left="0" w:firstLine="567"/>
        <w:rPr>
          <w:bCs/>
          <w:sz w:val="18"/>
          <w:szCs w:val="18"/>
        </w:rPr>
      </w:pPr>
      <w:r>
        <w:rPr>
          <w:bCs/>
          <w:sz w:val="18"/>
          <w:szCs w:val="18"/>
        </w:rPr>
        <w:t>d) Faiz tabanı: Değişken faizli sözleşmeye konu varlığa uygulanacak faiz oranının alt limitini,</w:t>
      </w:r>
    </w:p>
    <w:p w:rsidR="000A177A" w:rsidRDefault="000A177A" w:rsidP="000A177A">
      <w:pPr>
        <w:pStyle w:val="GvdeMetniGirintisi3"/>
        <w:spacing w:after="0" w:line="240" w:lineRule="exact"/>
        <w:ind w:left="0" w:firstLine="567"/>
        <w:rPr>
          <w:bCs/>
          <w:sz w:val="18"/>
          <w:szCs w:val="18"/>
        </w:rPr>
      </w:pPr>
      <w:r>
        <w:rPr>
          <w:bCs/>
          <w:sz w:val="18"/>
          <w:szCs w:val="18"/>
        </w:rPr>
        <w:t>e) Faiz tavanı: Değişken faizli sözleşmeye konu varlığa uygulanacak faiz oranının üst limitini,</w:t>
      </w:r>
    </w:p>
    <w:p w:rsidR="000A177A" w:rsidRDefault="000A177A" w:rsidP="000A177A">
      <w:pPr>
        <w:pStyle w:val="GvdeMetniGirintisi3"/>
        <w:spacing w:after="0" w:line="240" w:lineRule="exact"/>
        <w:ind w:left="0" w:firstLine="567"/>
        <w:rPr>
          <w:bCs/>
          <w:sz w:val="18"/>
          <w:szCs w:val="18"/>
        </w:rPr>
      </w:pPr>
      <w:r>
        <w:rPr>
          <w:bCs/>
          <w:sz w:val="18"/>
          <w:szCs w:val="18"/>
        </w:rPr>
        <w:t xml:space="preserve">f) Gama: Opsiyon deltasının, </w:t>
      </w:r>
      <w:proofErr w:type="gramStart"/>
      <w:r>
        <w:rPr>
          <w:bCs/>
          <w:sz w:val="18"/>
          <w:szCs w:val="18"/>
        </w:rPr>
        <w:t>opsiyon</w:t>
      </w:r>
      <w:proofErr w:type="gramEnd"/>
      <w:r>
        <w:rPr>
          <w:bCs/>
          <w:sz w:val="18"/>
          <w:szCs w:val="18"/>
        </w:rPr>
        <w:t xml:space="preserve"> sözleşmesine konu varlığın piyasa fiyatında meydana gelebilecek değişmeye olan duyarlılığını,</w:t>
      </w:r>
    </w:p>
    <w:p w:rsidR="000A177A" w:rsidRDefault="000A177A" w:rsidP="000A177A">
      <w:pPr>
        <w:pStyle w:val="GvdeMetniGirintisi3"/>
        <w:spacing w:after="0" w:line="240" w:lineRule="exact"/>
        <w:ind w:left="0" w:firstLine="567"/>
        <w:rPr>
          <w:bCs/>
          <w:sz w:val="18"/>
          <w:szCs w:val="18"/>
        </w:rPr>
      </w:pPr>
      <w:r>
        <w:rPr>
          <w:bCs/>
          <w:sz w:val="18"/>
          <w:szCs w:val="18"/>
        </w:rPr>
        <w:t>g) Genel piyasa riski oranı: Yönetmeliğin 11 ve 14 üncü maddelerinde yer alan ilgili pozisyon ve finansal araçlara ilişkin genel piyasa riski oranlarını,</w:t>
      </w:r>
    </w:p>
    <w:p w:rsidR="000A177A" w:rsidRDefault="000A177A" w:rsidP="000A177A">
      <w:pPr>
        <w:pStyle w:val="GvdeMetniGirintisi3"/>
        <w:spacing w:after="0" w:line="240" w:lineRule="exact"/>
        <w:ind w:left="0" w:firstLine="567"/>
        <w:rPr>
          <w:bCs/>
          <w:sz w:val="18"/>
          <w:szCs w:val="18"/>
        </w:rPr>
      </w:pPr>
      <w:r>
        <w:rPr>
          <w:bCs/>
          <w:sz w:val="18"/>
          <w:szCs w:val="18"/>
        </w:rPr>
        <w:t>ğ) Kârda-</w:t>
      </w:r>
      <w:proofErr w:type="gramStart"/>
      <w:r>
        <w:rPr>
          <w:bCs/>
          <w:sz w:val="18"/>
          <w:szCs w:val="18"/>
        </w:rPr>
        <w:t>opsiyon</w:t>
      </w:r>
      <w:proofErr w:type="gramEnd"/>
      <w:r>
        <w:rPr>
          <w:bCs/>
          <w:sz w:val="18"/>
          <w:szCs w:val="18"/>
        </w:rPr>
        <w:t>: Sözleşmeye konu varlığın piyasa fiyatının opsiyonun kullanım fiyatıyla karşılaştırıldığında, opsiyon hakkını kullanmanın opsiyon sahibine kazanç sağladığı durumu,</w:t>
      </w:r>
    </w:p>
    <w:p w:rsidR="000A177A" w:rsidRDefault="000A177A" w:rsidP="000A177A">
      <w:pPr>
        <w:pStyle w:val="GvdeMetniGirintisi3"/>
        <w:spacing w:after="0" w:line="240" w:lineRule="exact"/>
        <w:ind w:left="0" w:firstLine="567"/>
        <w:rPr>
          <w:bCs/>
          <w:sz w:val="18"/>
          <w:szCs w:val="18"/>
        </w:rPr>
      </w:pPr>
      <w:r>
        <w:rPr>
          <w:bCs/>
          <w:sz w:val="18"/>
          <w:szCs w:val="18"/>
        </w:rPr>
        <w:t xml:space="preserve">h) Kısa alım </w:t>
      </w:r>
      <w:proofErr w:type="gramStart"/>
      <w:r>
        <w:rPr>
          <w:bCs/>
          <w:sz w:val="18"/>
          <w:szCs w:val="18"/>
        </w:rPr>
        <w:t>opsiyonu</w:t>
      </w:r>
      <w:proofErr w:type="gramEnd"/>
      <w:r>
        <w:rPr>
          <w:bCs/>
          <w:sz w:val="18"/>
          <w:szCs w:val="18"/>
        </w:rPr>
        <w:t xml:space="preserve"> pozisyonu: Alım opsiyonunu satan tarafın pozisyonunu,</w:t>
      </w:r>
    </w:p>
    <w:p w:rsidR="000A177A" w:rsidRDefault="000A177A" w:rsidP="000A177A">
      <w:pPr>
        <w:pStyle w:val="GvdeMetniGirintisi3"/>
        <w:spacing w:after="0" w:line="240" w:lineRule="exact"/>
        <w:ind w:left="0" w:firstLine="567"/>
        <w:rPr>
          <w:bCs/>
          <w:sz w:val="18"/>
          <w:szCs w:val="18"/>
        </w:rPr>
      </w:pPr>
      <w:r>
        <w:rPr>
          <w:bCs/>
          <w:sz w:val="18"/>
          <w:szCs w:val="18"/>
        </w:rPr>
        <w:t xml:space="preserve">ı) Kısa satım </w:t>
      </w:r>
      <w:proofErr w:type="gramStart"/>
      <w:r>
        <w:rPr>
          <w:bCs/>
          <w:sz w:val="18"/>
          <w:szCs w:val="18"/>
        </w:rPr>
        <w:t>opsiyonu</w:t>
      </w:r>
      <w:proofErr w:type="gramEnd"/>
      <w:r>
        <w:rPr>
          <w:bCs/>
          <w:sz w:val="18"/>
          <w:szCs w:val="18"/>
        </w:rPr>
        <w:t xml:space="preserve"> pozisyonu: Satım opsiyonunu satan tarafın pozisyonunu,</w:t>
      </w:r>
    </w:p>
    <w:p w:rsidR="000A177A" w:rsidRDefault="000A177A" w:rsidP="000A177A">
      <w:pPr>
        <w:pStyle w:val="GvdeMetniGirintisi3"/>
        <w:spacing w:after="0" w:line="240" w:lineRule="exact"/>
        <w:ind w:left="0" w:firstLine="567"/>
        <w:rPr>
          <w:bCs/>
          <w:sz w:val="18"/>
          <w:szCs w:val="18"/>
        </w:rPr>
      </w:pPr>
      <w:r>
        <w:rPr>
          <w:bCs/>
          <w:sz w:val="18"/>
          <w:szCs w:val="18"/>
        </w:rPr>
        <w:t>i) Kullanım fiyatı: Sözleşmeye konu varlığın alım veya satım hakkının vade süresince veya vade sonunda kullanabileceği fiyatı,</w:t>
      </w:r>
    </w:p>
    <w:p w:rsidR="000A177A" w:rsidRDefault="000A177A" w:rsidP="000A177A">
      <w:pPr>
        <w:spacing w:line="240" w:lineRule="exact"/>
        <w:ind w:firstLine="567"/>
        <w:jc w:val="both"/>
        <w:rPr>
          <w:sz w:val="18"/>
          <w:szCs w:val="18"/>
        </w:rPr>
      </w:pPr>
      <w:r>
        <w:rPr>
          <w:sz w:val="18"/>
          <w:szCs w:val="18"/>
        </w:rPr>
        <w:t>j) Kurum: Bankacılık Düzenleme ve Denetleme Kurumunu,</w:t>
      </w:r>
    </w:p>
    <w:p w:rsidR="000A177A" w:rsidRDefault="000A177A" w:rsidP="000A177A">
      <w:pPr>
        <w:pStyle w:val="GvdeMetniGirintisi3"/>
        <w:spacing w:after="0" w:line="240" w:lineRule="exact"/>
        <w:ind w:left="0" w:firstLine="567"/>
        <w:rPr>
          <w:bCs/>
          <w:sz w:val="18"/>
          <w:szCs w:val="18"/>
        </w:rPr>
      </w:pPr>
      <w:r>
        <w:rPr>
          <w:bCs/>
          <w:sz w:val="18"/>
          <w:szCs w:val="18"/>
        </w:rPr>
        <w:t xml:space="preserve">k) Opsiyonun delta eşdeğeri: Opsiyon sözleşmesine konu varlığa ilişkin pozisyonun bu varlığın piyasa fiyatı ve sonrasında da bu </w:t>
      </w:r>
      <w:proofErr w:type="gramStart"/>
      <w:r>
        <w:rPr>
          <w:bCs/>
          <w:sz w:val="18"/>
          <w:szCs w:val="18"/>
        </w:rPr>
        <w:t>opsiyonun</w:t>
      </w:r>
      <w:proofErr w:type="gramEnd"/>
      <w:r>
        <w:rPr>
          <w:bCs/>
          <w:sz w:val="18"/>
          <w:szCs w:val="18"/>
        </w:rPr>
        <w:t xml:space="preserve"> deltası ile çapımı sonucu bulunan tutarı</w:t>
      </w:r>
    </w:p>
    <w:p w:rsidR="000A177A" w:rsidRDefault="000A177A" w:rsidP="000A177A">
      <w:pPr>
        <w:pStyle w:val="GvdeMetniGirintisi3"/>
        <w:spacing w:after="0" w:line="240" w:lineRule="exact"/>
        <w:ind w:left="0" w:firstLine="567"/>
        <w:rPr>
          <w:bCs/>
          <w:sz w:val="18"/>
          <w:szCs w:val="18"/>
        </w:rPr>
      </w:pPr>
      <w:r>
        <w:rPr>
          <w:bCs/>
          <w:sz w:val="18"/>
          <w:szCs w:val="18"/>
        </w:rPr>
        <w:t>l) Opsiyon primi/</w:t>
      </w:r>
      <w:proofErr w:type="gramStart"/>
      <w:r>
        <w:rPr>
          <w:bCs/>
          <w:sz w:val="18"/>
          <w:szCs w:val="18"/>
        </w:rPr>
        <w:t>opsiyon</w:t>
      </w:r>
      <w:proofErr w:type="gramEnd"/>
      <w:r>
        <w:rPr>
          <w:bCs/>
          <w:sz w:val="18"/>
          <w:szCs w:val="18"/>
        </w:rPr>
        <w:t xml:space="preserve"> fiyatı: Opsiyonu satın alan tarafın opsiyonu satan tarafa, sözleşmede yer alan hakları karşılığında yaptığı ödemeyi,</w:t>
      </w:r>
    </w:p>
    <w:p w:rsidR="000A177A" w:rsidRDefault="000A177A" w:rsidP="000A177A">
      <w:pPr>
        <w:pStyle w:val="GvdeMetniGirintisi3"/>
        <w:spacing w:after="0" w:line="240" w:lineRule="exact"/>
        <w:ind w:left="0" w:firstLine="567"/>
        <w:rPr>
          <w:bCs/>
          <w:sz w:val="18"/>
          <w:szCs w:val="18"/>
        </w:rPr>
      </w:pPr>
      <w:r>
        <w:rPr>
          <w:bCs/>
          <w:sz w:val="18"/>
          <w:szCs w:val="18"/>
        </w:rPr>
        <w:t xml:space="preserve">m) Opsiyon sözleşmesi: Opsiyonu alan tarafa, önceden belirlenen fiyat, miktar ve nitelikte ekonomik veya finansal göstergeyi, para veya sermaye piyasası aracını, emtiayı veya dövizi, belirlenen vade sonunda  (Avrupa tipi </w:t>
      </w:r>
      <w:proofErr w:type="gramStart"/>
      <w:r>
        <w:rPr>
          <w:bCs/>
          <w:sz w:val="18"/>
          <w:szCs w:val="18"/>
        </w:rPr>
        <w:t>opsiyon</w:t>
      </w:r>
      <w:proofErr w:type="gramEnd"/>
      <w:r>
        <w:rPr>
          <w:bCs/>
          <w:sz w:val="18"/>
          <w:szCs w:val="18"/>
        </w:rPr>
        <w:t>) veya belirli bir vade süresi içinde herhangi bir zamanda (Amerikan tipi opsiyon) satın alma veya satma hakkı veren; opsiyonu satan tarafı ise yükümlü kılan sözleşmeyi,</w:t>
      </w:r>
    </w:p>
    <w:p w:rsidR="000A177A" w:rsidRDefault="000A177A" w:rsidP="000A177A">
      <w:pPr>
        <w:pStyle w:val="GvdeMetniGirintisi3"/>
        <w:spacing w:after="0" w:line="240" w:lineRule="exact"/>
        <w:ind w:left="0" w:firstLine="567"/>
        <w:rPr>
          <w:bCs/>
          <w:sz w:val="18"/>
          <w:szCs w:val="18"/>
        </w:rPr>
      </w:pPr>
      <w:r>
        <w:rPr>
          <w:bCs/>
          <w:sz w:val="18"/>
          <w:szCs w:val="18"/>
        </w:rPr>
        <w:t xml:space="preserve">n) Opsiyonun gerçek değeri: Kârda opsiyonun kullanım fiyatı ile </w:t>
      </w:r>
      <w:proofErr w:type="gramStart"/>
      <w:r>
        <w:rPr>
          <w:bCs/>
          <w:sz w:val="18"/>
          <w:szCs w:val="18"/>
        </w:rPr>
        <w:t>opsiyon</w:t>
      </w:r>
      <w:proofErr w:type="gramEnd"/>
      <w:r>
        <w:rPr>
          <w:bCs/>
          <w:sz w:val="18"/>
          <w:szCs w:val="18"/>
        </w:rPr>
        <w:t xml:space="preserve"> sözleşmesine konu varlığın piyasa fiyatı arasındaki farkı,</w:t>
      </w:r>
    </w:p>
    <w:p w:rsidR="000A177A" w:rsidRDefault="000A177A" w:rsidP="000A177A">
      <w:pPr>
        <w:pStyle w:val="GvdeMetniGirintisi3"/>
        <w:spacing w:after="0" w:line="240" w:lineRule="exact"/>
        <w:ind w:left="0" w:firstLine="567"/>
        <w:rPr>
          <w:bCs/>
          <w:sz w:val="18"/>
          <w:szCs w:val="18"/>
        </w:rPr>
      </w:pPr>
      <w:r>
        <w:rPr>
          <w:bCs/>
          <w:sz w:val="18"/>
          <w:szCs w:val="18"/>
        </w:rPr>
        <w:lastRenderedPageBreak/>
        <w:t xml:space="preserve">o) </w:t>
      </w:r>
      <w:proofErr w:type="spellStart"/>
      <w:r>
        <w:rPr>
          <w:bCs/>
          <w:sz w:val="18"/>
          <w:szCs w:val="18"/>
        </w:rPr>
        <w:t>Ro</w:t>
      </w:r>
      <w:proofErr w:type="spellEnd"/>
      <w:r>
        <w:rPr>
          <w:bCs/>
          <w:sz w:val="18"/>
          <w:szCs w:val="18"/>
        </w:rPr>
        <w:t>: Opsiyonun piyasa fiyatının,  faiz oranındaki değişime olan duyarlılığını,</w:t>
      </w:r>
    </w:p>
    <w:p w:rsidR="000A177A" w:rsidRDefault="000A177A" w:rsidP="000A177A">
      <w:pPr>
        <w:pStyle w:val="GvdeMetniGirintisi3"/>
        <w:spacing w:after="0" w:line="240" w:lineRule="exact"/>
        <w:ind w:left="0" w:firstLine="567"/>
        <w:rPr>
          <w:bCs/>
          <w:sz w:val="18"/>
          <w:szCs w:val="18"/>
        </w:rPr>
      </w:pPr>
      <w:r>
        <w:rPr>
          <w:bCs/>
          <w:sz w:val="18"/>
          <w:szCs w:val="18"/>
        </w:rPr>
        <w:t xml:space="preserve">ö) Satım </w:t>
      </w:r>
      <w:proofErr w:type="gramStart"/>
      <w:r>
        <w:rPr>
          <w:bCs/>
          <w:sz w:val="18"/>
          <w:szCs w:val="18"/>
        </w:rPr>
        <w:t>opsiyonu</w:t>
      </w:r>
      <w:proofErr w:type="gramEnd"/>
      <w:r>
        <w:rPr>
          <w:bCs/>
          <w:sz w:val="18"/>
          <w:szCs w:val="18"/>
        </w:rPr>
        <w:t>: Opsiyonu alan tarafa, sözleşmenin vadesinde veya vadeye kadar olan süre içinde sözleşmeye konu varlığı, sözleşmede belirtilen fiyat ve miktardan satma hakkı veren opsiyonu,</w:t>
      </w:r>
    </w:p>
    <w:p w:rsidR="000A177A" w:rsidRDefault="000A177A" w:rsidP="000A177A">
      <w:pPr>
        <w:pStyle w:val="GvdeMetniGirintisi3"/>
        <w:spacing w:after="0" w:line="240" w:lineRule="exact"/>
        <w:ind w:left="0" w:firstLine="567"/>
        <w:rPr>
          <w:bCs/>
          <w:sz w:val="18"/>
          <w:szCs w:val="18"/>
        </w:rPr>
      </w:pPr>
      <w:r>
        <w:rPr>
          <w:bCs/>
          <w:sz w:val="18"/>
          <w:szCs w:val="18"/>
        </w:rPr>
        <w:t xml:space="preserve">p) Spesifik risk oranı: Yönetmeliğin 13 ve 14 üncü maddelerinde yer alan ilgili pozisyon ve finansal araçlara ilişkin </w:t>
      </w:r>
      <w:proofErr w:type="gramStart"/>
      <w:r>
        <w:rPr>
          <w:bCs/>
          <w:sz w:val="18"/>
          <w:szCs w:val="18"/>
        </w:rPr>
        <w:t>spesifik</w:t>
      </w:r>
      <w:proofErr w:type="gramEnd"/>
      <w:r>
        <w:rPr>
          <w:bCs/>
          <w:sz w:val="18"/>
          <w:szCs w:val="18"/>
        </w:rPr>
        <w:t xml:space="preserve"> risk oranlarını,</w:t>
      </w:r>
    </w:p>
    <w:p w:rsidR="000A177A" w:rsidRDefault="000A177A" w:rsidP="000A177A">
      <w:pPr>
        <w:pStyle w:val="GvdeMetniGirintisi3"/>
        <w:spacing w:after="0" w:line="240" w:lineRule="exact"/>
        <w:ind w:left="0" w:firstLine="567"/>
        <w:rPr>
          <w:bCs/>
          <w:sz w:val="18"/>
          <w:szCs w:val="18"/>
        </w:rPr>
      </w:pPr>
      <w:r>
        <w:rPr>
          <w:bCs/>
          <w:sz w:val="18"/>
          <w:szCs w:val="18"/>
        </w:rPr>
        <w:t xml:space="preserve">r) </w:t>
      </w:r>
      <w:proofErr w:type="spellStart"/>
      <w:r>
        <w:rPr>
          <w:bCs/>
          <w:sz w:val="18"/>
          <w:szCs w:val="18"/>
        </w:rPr>
        <w:t>Swaptions</w:t>
      </w:r>
      <w:proofErr w:type="spellEnd"/>
      <w:r>
        <w:rPr>
          <w:bCs/>
          <w:sz w:val="18"/>
          <w:szCs w:val="18"/>
        </w:rPr>
        <w:t xml:space="preserve">: Değişken faiz (sabit faiz) karşılığında sabit faiz (değişken faiz) elde etme hakkı veren </w:t>
      </w:r>
      <w:proofErr w:type="gramStart"/>
      <w:r>
        <w:rPr>
          <w:bCs/>
          <w:sz w:val="18"/>
          <w:szCs w:val="18"/>
        </w:rPr>
        <w:t>opsiyon</w:t>
      </w:r>
      <w:proofErr w:type="gramEnd"/>
      <w:r>
        <w:rPr>
          <w:bCs/>
          <w:sz w:val="18"/>
          <w:szCs w:val="18"/>
        </w:rPr>
        <w:t xml:space="preserve"> türünü,</w:t>
      </w:r>
    </w:p>
    <w:p w:rsidR="000A177A" w:rsidRDefault="000A177A" w:rsidP="000A177A">
      <w:pPr>
        <w:pStyle w:val="GvdeMetniGirintisi3"/>
        <w:spacing w:after="0" w:line="240" w:lineRule="exact"/>
        <w:ind w:left="0" w:firstLine="567"/>
        <w:rPr>
          <w:bCs/>
          <w:sz w:val="18"/>
          <w:szCs w:val="18"/>
        </w:rPr>
      </w:pPr>
      <w:r>
        <w:rPr>
          <w:bCs/>
          <w:sz w:val="18"/>
          <w:szCs w:val="18"/>
        </w:rPr>
        <w:t xml:space="preserve">s) </w:t>
      </w:r>
      <w:proofErr w:type="spellStart"/>
      <w:r>
        <w:rPr>
          <w:bCs/>
          <w:sz w:val="18"/>
          <w:szCs w:val="18"/>
        </w:rPr>
        <w:t>Teta</w:t>
      </w:r>
      <w:proofErr w:type="spellEnd"/>
      <w:r>
        <w:rPr>
          <w:bCs/>
          <w:sz w:val="18"/>
          <w:szCs w:val="18"/>
        </w:rPr>
        <w:t>: Opsiyonun piyasa fiyatının, zamana göre değişim oranını,</w:t>
      </w:r>
    </w:p>
    <w:p w:rsidR="000A177A" w:rsidRDefault="000A177A" w:rsidP="000A177A">
      <w:pPr>
        <w:pStyle w:val="GvdeMetniGirintisi3"/>
        <w:spacing w:after="0" w:line="240" w:lineRule="exact"/>
        <w:ind w:left="0" w:firstLine="567"/>
        <w:rPr>
          <w:bCs/>
          <w:sz w:val="18"/>
          <w:szCs w:val="18"/>
        </w:rPr>
      </w:pPr>
      <w:r>
        <w:rPr>
          <w:bCs/>
          <w:sz w:val="18"/>
          <w:szCs w:val="18"/>
        </w:rPr>
        <w:t xml:space="preserve">ş) Uzun alım </w:t>
      </w:r>
      <w:proofErr w:type="gramStart"/>
      <w:r>
        <w:rPr>
          <w:bCs/>
          <w:sz w:val="18"/>
          <w:szCs w:val="18"/>
        </w:rPr>
        <w:t>opsiyonu</w:t>
      </w:r>
      <w:proofErr w:type="gramEnd"/>
      <w:r>
        <w:rPr>
          <w:bCs/>
          <w:sz w:val="18"/>
          <w:szCs w:val="18"/>
        </w:rPr>
        <w:t xml:space="preserve"> pozisyonu:  Alım opsiyonunu satın alan tarafın pozisyonunu,</w:t>
      </w:r>
    </w:p>
    <w:p w:rsidR="000A177A" w:rsidRDefault="000A177A" w:rsidP="000A177A">
      <w:pPr>
        <w:pStyle w:val="GvdeMetniGirintisi3"/>
        <w:spacing w:after="0" w:line="240" w:lineRule="exact"/>
        <w:ind w:left="0" w:firstLine="567"/>
        <w:rPr>
          <w:bCs/>
          <w:sz w:val="18"/>
          <w:szCs w:val="18"/>
        </w:rPr>
      </w:pPr>
      <w:r>
        <w:rPr>
          <w:bCs/>
          <w:sz w:val="18"/>
          <w:szCs w:val="18"/>
        </w:rPr>
        <w:t xml:space="preserve">t) Uzun satım </w:t>
      </w:r>
      <w:proofErr w:type="gramStart"/>
      <w:r>
        <w:rPr>
          <w:bCs/>
          <w:sz w:val="18"/>
          <w:szCs w:val="18"/>
        </w:rPr>
        <w:t>opsiyonu</w:t>
      </w:r>
      <w:proofErr w:type="gramEnd"/>
      <w:r>
        <w:rPr>
          <w:bCs/>
          <w:sz w:val="18"/>
          <w:szCs w:val="18"/>
        </w:rPr>
        <w:t xml:space="preserve"> pozisyonu: Satım opsiyonunu satın alan tarafın pozisyonunu,</w:t>
      </w:r>
    </w:p>
    <w:p w:rsidR="000A177A" w:rsidRDefault="000A177A" w:rsidP="000A177A">
      <w:pPr>
        <w:pStyle w:val="GvdeMetniGirintisi3"/>
        <w:spacing w:after="0" w:line="240" w:lineRule="exact"/>
        <w:ind w:left="0" w:firstLine="567"/>
        <w:rPr>
          <w:bCs/>
          <w:sz w:val="18"/>
          <w:szCs w:val="18"/>
        </w:rPr>
      </w:pPr>
      <w:r>
        <w:rPr>
          <w:bCs/>
          <w:sz w:val="18"/>
          <w:szCs w:val="18"/>
        </w:rPr>
        <w:t xml:space="preserve">u) </w:t>
      </w:r>
      <w:proofErr w:type="spellStart"/>
      <w:r>
        <w:rPr>
          <w:bCs/>
          <w:sz w:val="18"/>
          <w:szCs w:val="18"/>
        </w:rPr>
        <w:t>Vega</w:t>
      </w:r>
      <w:proofErr w:type="spellEnd"/>
      <w:r>
        <w:rPr>
          <w:bCs/>
          <w:sz w:val="18"/>
          <w:szCs w:val="18"/>
        </w:rPr>
        <w:t xml:space="preserve">: Opsiyonun piyasa fiyatının, </w:t>
      </w:r>
      <w:proofErr w:type="gramStart"/>
      <w:r>
        <w:rPr>
          <w:bCs/>
          <w:sz w:val="18"/>
          <w:szCs w:val="18"/>
        </w:rPr>
        <w:t>opsiyon</w:t>
      </w:r>
      <w:proofErr w:type="gramEnd"/>
      <w:r>
        <w:rPr>
          <w:bCs/>
          <w:sz w:val="18"/>
          <w:szCs w:val="18"/>
        </w:rPr>
        <w:t xml:space="preserve"> sözleşmesine konu finansal aracın piyasa fiyatının volatilitesindeki değişime olan duyarlılığını,</w:t>
      </w:r>
    </w:p>
    <w:p w:rsidR="000A177A" w:rsidRDefault="000A177A" w:rsidP="000A177A">
      <w:pPr>
        <w:pStyle w:val="GvdeMetniGirintisi3"/>
        <w:spacing w:after="0" w:line="240" w:lineRule="exact"/>
        <w:ind w:left="0" w:firstLine="567"/>
        <w:rPr>
          <w:sz w:val="18"/>
          <w:szCs w:val="18"/>
        </w:rPr>
      </w:pPr>
      <w:r>
        <w:rPr>
          <w:sz w:val="18"/>
          <w:szCs w:val="18"/>
        </w:rPr>
        <w:t>ü) Volatilite: Finansal varlıkların fiyat veya oranındaki dalgalanmaların büyüklük ve sıklık derecesinin ölçüsünü,</w:t>
      </w:r>
    </w:p>
    <w:p w:rsidR="000A177A" w:rsidRDefault="000A177A" w:rsidP="000A177A">
      <w:pPr>
        <w:spacing w:line="240" w:lineRule="exact"/>
        <w:ind w:firstLine="567"/>
        <w:jc w:val="both"/>
        <w:rPr>
          <w:sz w:val="18"/>
          <w:szCs w:val="18"/>
        </w:rPr>
      </w:pPr>
      <w:r>
        <w:rPr>
          <w:sz w:val="18"/>
          <w:szCs w:val="18"/>
        </w:rPr>
        <w:t>v)Yönetmelik: Bankaların Sermaye Yeterliliğinin Ölçülmesine ve Değerlendirilmesine İlişkin Yönetmeliği,</w:t>
      </w:r>
    </w:p>
    <w:p w:rsidR="000A177A" w:rsidRDefault="000A177A" w:rsidP="000A177A">
      <w:pPr>
        <w:pStyle w:val="GvdeMetniGirintisi3"/>
        <w:spacing w:after="0" w:line="240" w:lineRule="exact"/>
        <w:ind w:left="0" w:firstLine="567"/>
        <w:rPr>
          <w:bCs/>
          <w:sz w:val="18"/>
          <w:szCs w:val="18"/>
        </w:rPr>
      </w:pPr>
      <w:r>
        <w:rPr>
          <w:bCs/>
          <w:sz w:val="18"/>
          <w:szCs w:val="18"/>
        </w:rPr>
        <w:t>y) Zararda-</w:t>
      </w:r>
      <w:proofErr w:type="gramStart"/>
      <w:r>
        <w:rPr>
          <w:bCs/>
          <w:sz w:val="18"/>
          <w:szCs w:val="18"/>
        </w:rPr>
        <w:t>opsiyon</w:t>
      </w:r>
      <w:proofErr w:type="gramEnd"/>
      <w:r>
        <w:rPr>
          <w:bCs/>
          <w:sz w:val="18"/>
          <w:szCs w:val="18"/>
        </w:rPr>
        <w:t>: Sözleşmeye konu varlığın piyasa fiyatı opsiyonun kullanım fiyatıyla karşılaştırıldığında, opsiyon hakkını kullanmanın opsiyon sahibinin zararına yol açtığı durumu</w:t>
      </w:r>
    </w:p>
    <w:p w:rsidR="000A177A" w:rsidRDefault="000A177A" w:rsidP="000A177A">
      <w:pPr>
        <w:spacing w:line="240" w:lineRule="exact"/>
        <w:ind w:firstLine="567"/>
        <w:jc w:val="both"/>
        <w:rPr>
          <w:sz w:val="18"/>
          <w:szCs w:val="18"/>
        </w:rPr>
      </w:pPr>
      <w:proofErr w:type="gramStart"/>
      <w:r>
        <w:rPr>
          <w:sz w:val="18"/>
          <w:szCs w:val="18"/>
        </w:rPr>
        <w:t>ifade</w:t>
      </w:r>
      <w:proofErr w:type="gramEnd"/>
      <w:r>
        <w:rPr>
          <w:sz w:val="18"/>
          <w:szCs w:val="18"/>
        </w:rPr>
        <w:t xml:space="preserve"> eder.</w:t>
      </w:r>
    </w:p>
    <w:p w:rsidR="000A177A" w:rsidRDefault="000A177A" w:rsidP="000A177A">
      <w:pPr>
        <w:pStyle w:val="Balk3"/>
        <w:spacing w:line="240" w:lineRule="exact"/>
        <w:rPr>
          <w:sz w:val="18"/>
          <w:szCs w:val="18"/>
        </w:rPr>
      </w:pPr>
      <w:r>
        <w:rPr>
          <w:sz w:val="18"/>
          <w:szCs w:val="18"/>
        </w:rPr>
        <w:t>İKİNCİ BÖLÜM</w:t>
      </w:r>
    </w:p>
    <w:p w:rsidR="000A177A" w:rsidRDefault="000A177A" w:rsidP="000A177A">
      <w:pPr>
        <w:spacing w:line="240" w:lineRule="exact"/>
        <w:jc w:val="center"/>
        <w:rPr>
          <w:b/>
          <w:bCs/>
          <w:sz w:val="18"/>
          <w:szCs w:val="18"/>
        </w:rPr>
      </w:pPr>
      <w:r>
        <w:rPr>
          <w:b/>
          <w:bCs/>
          <w:sz w:val="18"/>
          <w:szCs w:val="18"/>
        </w:rPr>
        <w:t>Piyasa Riski İçin Standart Metoda Göre Sermaye Yükümlülüğünün Hesaplanması</w:t>
      </w:r>
    </w:p>
    <w:p w:rsidR="000A177A" w:rsidRDefault="000A177A" w:rsidP="000A177A">
      <w:pPr>
        <w:spacing w:line="240" w:lineRule="exact"/>
        <w:ind w:firstLine="567"/>
        <w:jc w:val="both"/>
        <w:rPr>
          <w:b/>
          <w:bCs/>
          <w:sz w:val="18"/>
          <w:szCs w:val="18"/>
        </w:rPr>
      </w:pPr>
      <w:r>
        <w:rPr>
          <w:b/>
          <w:color w:val="000000"/>
          <w:sz w:val="18"/>
          <w:szCs w:val="18"/>
        </w:rPr>
        <w:t>Genel Esaslar</w:t>
      </w:r>
    </w:p>
    <w:p w:rsidR="000A177A" w:rsidRDefault="000A177A" w:rsidP="000A177A">
      <w:pPr>
        <w:pStyle w:val="GvdeMetni"/>
        <w:spacing w:line="240" w:lineRule="exact"/>
        <w:ind w:firstLine="567"/>
        <w:rPr>
          <w:sz w:val="18"/>
          <w:szCs w:val="18"/>
        </w:rPr>
      </w:pPr>
      <w:r>
        <w:rPr>
          <w:rFonts w:ascii="Times New Roman" w:hAnsi="Times New Roman"/>
          <w:b/>
          <w:bCs/>
          <w:sz w:val="18"/>
          <w:szCs w:val="18"/>
        </w:rPr>
        <w:t>MADDE 4-</w:t>
      </w:r>
      <w:r>
        <w:rPr>
          <w:rFonts w:ascii="Times New Roman" w:hAnsi="Times New Roman"/>
          <w:sz w:val="18"/>
          <w:szCs w:val="18"/>
        </w:rPr>
        <w:t xml:space="preserve"> </w:t>
      </w:r>
      <w:r>
        <w:rPr>
          <w:rFonts w:ascii="Times New Roman" w:hAnsi="Times New Roman"/>
          <w:bCs/>
          <w:sz w:val="18"/>
          <w:szCs w:val="18"/>
        </w:rPr>
        <w:t>(1) Bu Tebliğ hükümleri uyarınca</w:t>
      </w:r>
      <w:r>
        <w:rPr>
          <w:rFonts w:ascii="Times New Roman" w:hAnsi="Times New Roman"/>
          <w:sz w:val="18"/>
          <w:szCs w:val="18"/>
        </w:rPr>
        <w:t xml:space="preserve"> hesaplanacak sermaye yükümlülüğü, Yönetmeliğin 9 uncu maddesinin ikinci fıkrasına göre bulunacak standart metot ile piyasa riskine esas tutar hesaplamasına </w:t>
      </w:r>
      <w:proofErr w:type="gramStart"/>
      <w:r>
        <w:rPr>
          <w:rFonts w:ascii="Times New Roman" w:hAnsi="Times New Roman"/>
          <w:sz w:val="18"/>
          <w:szCs w:val="18"/>
        </w:rPr>
        <w:t>dahil</w:t>
      </w:r>
      <w:proofErr w:type="gramEnd"/>
      <w:r>
        <w:rPr>
          <w:rFonts w:ascii="Times New Roman" w:hAnsi="Times New Roman"/>
          <w:sz w:val="18"/>
          <w:szCs w:val="18"/>
        </w:rPr>
        <w:t xml:space="preserve"> edilir.</w:t>
      </w:r>
    </w:p>
    <w:p w:rsidR="000A177A" w:rsidRDefault="000A177A" w:rsidP="000A177A">
      <w:pPr>
        <w:pStyle w:val="GvdeMetni"/>
        <w:spacing w:line="240" w:lineRule="exact"/>
        <w:ind w:firstLine="567"/>
        <w:rPr>
          <w:sz w:val="18"/>
          <w:szCs w:val="18"/>
        </w:rPr>
      </w:pPr>
      <w:r>
        <w:rPr>
          <w:rFonts w:ascii="Times New Roman" w:hAnsi="Times New Roman"/>
          <w:bCs/>
          <w:sz w:val="18"/>
          <w:szCs w:val="18"/>
        </w:rPr>
        <w:t>(2)</w:t>
      </w:r>
      <w:r>
        <w:rPr>
          <w:rFonts w:ascii="Times New Roman" w:hAnsi="Times New Roman"/>
          <w:b/>
          <w:bCs/>
          <w:sz w:val="18"/>
          <w:szCs w:val="18"/>
        </w:rPr>
        <w:t xml:space="preserve"> </w:t>
      </w:r>
      <w:r>
        <w:rPr>
          <w:rFonts w:ascii="Times New Roman" w:hAnsi="Times New Roman"/>
          <w:sz w:val="18"/>
          <w:szCs w:val="18"/>
        </w:rPr>
        <w:t xml:space="preserve">Opsiyon içeren ancak </w:t>
      </w:r>
      <w:proofErr w:type="gramStart"/>
      <w:r>
        <w:rPr>
          <w:rFonts w:ascii="Times New Roman" w:hAnsi="Times New Roman"/>
          <w:sz w:val="18"/>
          <w:szCs w:val="18"/>
        </w:rPr>
        <w:t>opsiyonun</w:t>
      </w:r>
      <w:proofErr w:type="gramEnd"/>
      <w:r>
        <w:rPr>
          <w:rFonts w:ascii="Times New Roman" w:hAnsi="Times New Roman"/>
          <w:sz w:val="18"/>
          <w:szCs w:val="18"/>
        </w:rPr>
        <w:t xml:space="preserve"> etkisi ihmal edilebilecek kadar küçük olan finansal araçlar bu Tebliğ hükümlerinden muaf tutulabilir. Dönüştürülebilir tahvil/bono gibi varlıklar özelliklerine göre tahvil, bono veya hisse senedi olarak değerlendirilebilir. Tahvil veya bonoyu çıkarana erken ödeme </w:t>
      </w:r>
      <w:proofErr w:type="gramStart"/>
      <w:r>
        <w:rPr>
          <w:rFonts w:ascii="Times New Roman" w:hAnsi="Times New Roman"/>
          <w:sz w:val="18"/>
          <w:szCs w:val="18"/>
        </w:rPr>
        <w:t>imkanı</w:t>
      </w:r>
      <w:proofErr w:type="gramEnd"/>
      <w:r>
        <w:rPr>
          <w:rFonts w:ascii="Times New Roman" w:hAnsi="Times New Roman"/>
          <w:sz w:val="18"/>
          <w:szCs w:val="18"/>
        </w:rPr>
        <w:t xml:space="preserve"> veren bir finansal araç normal bir borçlanma aracı olarak değerlendirilir ve en muhtemel ödeme zamanına göre ilgili vade diliminde yerini alır.</w:t>
      </w:r>
    </w:p>
    <w:p w:rsidR="000A177A" w:rsidRDefault="000A177A" w:rsidP="000A177A">
      <w:pPr>
        <w:pStyle w:val="GvdeMetni"/>
        <w:spacing w:line="240" w:lineRule="exact"/>
        <w:ind w:firstLine="567"/>
        <w:rPr>
          <w:sz w:val="18"/>
          <w:szCs w:val="18"/>
        </w:rPr>
      </w:pPr>
      <w:r>
        <w:rPr>
          <w:rFonts w:ascii="Times New Roman" w:hAnsi="Times New Roman"/>
          <w:sz w:val="18"/>
          <w:szCs w:val="18"/>
        </w:rPr>
        <w:t>(3) Opsiyon bileşeni baskın ise, sözleşmeye konu varlıklar aşağıda açıklanan iki yöntemden birine göre bileşenlerine ayrılır;</w:t>
      </w:r>
    </w:p>
    <w:p w:rsidR="000A177A" w:rsidRDefault="000A177A" w:rsidP="000A177A">
      <w:pPr>
        <w:pStyle w:val="GvdeMetni"/>
        <w:spacing w:line="240" w:lineRule="exact"/>
        <w:ind w:firstLine="567"/>
        <w:rPr>
          <w:sz w:val="18"/>
          <w:szCs w:val="18"/>
        </w:rPr>
      </w:pPr>
      <w:r>
        <w:rPr>
          <w:rFonts w:ascii="Times New Roman" w:hAnsi="Times New Roman"/>
          <w:sz w:val="18"/>
          <w:szCs w:val="18"/>
        </w:rPr>
        <w:t>a) Opsiyon ve sözleşmeye konu varlık şeklinde analitik bir ayrıma tabi tutulmak,</w:t>
      </w:r>
    </w:p>
    <w:p w:rsidR="000A177A" w:rsidRDefault="000A177A" w:rsidP="000A177A">
      <w:pPr>
        <w:pStyle w:val="GvdeMetni"/>
        <w:spacing w:line="240" w:lineRule="exact"/>
        <w:ind w:firstLine="567"/>
        <w:rPr>
          <w:sz w:val="18"/>
          <w:szCs w:val="18"/>
        </w:rPr>
      </w:pPr>
      <w:r>
        <w:rPr>
          <w:rFonts w:ascii="Times New Roman" w:hAnsi="Times New Roman"/>
          <w:sz w:val="18"/>
          <w:szCs w:val="18"/>
        </w:rPr>
        <w:t xml:space="preserve">b) Risk profili, </w:t>
      </w:r>
      <w:proofErr w:type="gramStart"/>
      <w:r>
        <w:rPr>
          <w:rFonts w:ascii="Times New Roman" w:hAnsi="Times New Roman"/>
          <w:sz w:val="18"/>
          <w:szCs w:val="18"/>
        </w:rPr>
        <w:t>opsiyon</w:t>
      </w:r>
      <w:proofErr w:type="gramEnd"/>
      <w:r>
        <w:rPr>
          <w:rFonts w:ascii="Times New Roman" w:hAnsi="Times New Roman"/>
          <w:sz w:val="18"/>
          <w:szCs w:val="18"/>
        </w:rPr>
        <w:t xml:space="preserve"> ve temel finansal araçlarla oluşturulacak sentetik bir portföy oluşturmak.</w:t>
      </w:r>
    </w:p>
    <w:p w:rsidR="000A177A" w:rsidRDefault="000A177A" w:rsidP="000A177A">
      <w:pPr>
        <w:pStyle w:val="Balk2"/>
        <w:spacing w:line="240" w:lineRule="exact"/>
        <w:ind w:firstLine="567"/>
        <w:rPr>
          <w:iCs/>
          <w:sz w:val="18"/>
          <w:szCs w:val="18"/>
        </w:rPr>
      </w:pPr>
      <w:bookmarkStart w:id="0" w:name="_Toc520019261"/>
      <w:r>
        <w:rPr>
          <w:iCs/>
          <w:sz w:val="18"/>
          <w:szCs w:val="18"/>
        </w:rPr>
        <w:t xml:space="preserve">Opsiyonların Piyasa Riskini Ölçmede Kullanılacak </w:t>
      </w:r>
      <w:bookmarkEnd w:id="0"/>
      <w:r>
        <w:rPr>
          <w:iCs/>
          <w:sz w:val="18"/>
          <w:szCs w:val="18"/>
        </w:rPr>
        <w:t>Metotlar</w:t>
      </w:r>
    </w:p>
    <w:p w:rsidR="000A177A" w:rsidRDefault="000A177A" w:rsidP="000A177A">
      <w:pPr>
        <w:pStyle w:val="GvdeMetni"/>
        <w:spacing w:line="240" w:lineRule="exact"/>
        <w:ind w:firstLine="567"/>
        <w:rPr>
          <w:sz w:val="18"/>
          <w:szCs w:val="18"/>
        </w:rPr>
      </w:pPr>
      <w:r>
        <w:rPr>
          <w:rFonts w:ascii="Times New Roman" w:hAnsi="Times New Roman"/>
          <w:b/>
          <w:sz w:val="18"/>
          <w:szCs w:val="18"/>
        </w:rPr>
        <w:t>MADDE 5–</w:t>
      </w:r>
      <w:r>
        <w:rPr>
          <w:rFonts w:ascii="Times New Roman" w:hAnsi="Times New Roman"/>
          <w:sz w:val="18"/>
          <w:szCs w:val="18"/>
        </w:rPr>
        <w:t xml:space="preserve"> </w:t>
      </w:r>
      <w:r>
        <w:rPr>
          <w:rFonts w:ascii="Times New Roman" w:hAnsi="Times New Roman"/>
          <w:bCs/>
          <w:sz w:val="18"/>
          <w:szCs w:val="18"/>
        </w:rPr>
        <w:t>(1)</w:t>
      </w:r>
      <w:r>
        <w:rPr>
          <w:rFonts w:ascii="Times New Roman" w:hAnsi="Times New Roman"/>
          <w:b/>
          <w:bCs/>
          <w:sz w:val="18"/>
          <w:szCs w:val="18"/>
        </w:rPr>
        <w:t xml:space="preserve"> </w:t>
      </w:r>
      <w:r>
        <w:rPr>
          <w:rFonts w:ascii="Times New Roman" w:hAnsi="Times New Roman"/>
          <w:sz w:val="18"/>
          <w:szCs w:val="18"/>
        </w:rPr>
        <w:t>Opsiyonların piyasa riskini ölçmede kullanılabilecek alternatif metotlar aşağıda belirtildiği şekilde uygulanır.</w:t>
      </w:r>
    </w:p>
    <w:p w:rsidR="000A177A" w:rsidRDefault="000A177A" w:rsidP="000A177A">
      <w:pPr>
        <w:pStyle w:val="GvdeMetni"/>
        <w:spacing w:line="240" w:lineRule="exact"/>
        <w:ind w:firstLine="567"/>
        <w:rPr>
          <w:sz w:val="18"/>
          <w:szCs w:val="18"/>
        </w:rPr>
      </w:pPr>
      <w:r>
        <w:rPr>
          <w:rFonts w:ascii="Times New Roman" w:hAnsi="Times New Roman"/>
          <w:sz w:val="18"/>
          <w:szCs w:val="18"/>
        </w:rPr>
        <w:t xml:space="preserve">a) Sadece </w:t>
      </w:r>
      <w:proofErr w:type="gramStart"/>
      <w:r>
        <w:rPr>
          <w:rFonts w:ascii="Times New Roman" w:hAnsi="Times New Roman"/>
          <w:sz w:val="18"/>
          <w:szCs w:val="18"/>
        </w:rPr>
        <w:t>opsiyon</w:t>
      </w:r>
      <w:proofErr w:type="gramEnd"/>
      <w:r>
        <w:rPr>
          <w:rFonts w:ascii="Times New Roman" w:hAnsi="Times New Roman"/>
          <w:sz w:val="18"/>
          <w:szCs w:val="18"/>
        </w:rPr>
        <w:t xml:space="preserve"> sözleşmesi satın alan bankalar basitleştirilmiş metodu kullanabilirler,</w:t>
      </w:r>
    </w:p>
    <w:p w:rsidR="000A177A" w:rsidRDefault="000A177A" w:rsidP="000A177A">
      <w:pPr>
        <w:pStyle w:val="GvdeMetni"/>
        <w:spacing w:line="240" w:lineRule="exact"/>
        <w:ind w:firstLine="567"/>
        <w:rPr>
          <w:sz w:val="18"/>
          <w:szCs w:val="18"/>
        </w:rPr>
      </w:pPr>
      <w:r>
        <w:rPr>
          <w:rFonts w:ascii="Times New Roman" w:hAnsi="Times New Roman"/>
          <w:sz w:val="18"/>
          <w:szCs w:val="18"/>
        </w:rPr>
        <w:t xml:space="preserve">b) Opsiyon sözleşmesini ayrıca satan/yazan bankalar delta faktörü ile </w:t>
      </w:r>
      <w:proofErr w:type="spellStart"/>
      <w:r>
        <w:rPr>
          <w:rFonts w:ascii="Times New Roman" w:hAnsi="Times New Roman"/>
          <w:sz w:val="18"/>
          <w:szCs w:val="18"/>
        </w:rPr>
        <w:t>ağırlıklandırma</w:t>
      </w:r>
      <w:proofErr w:type="spellEnd"/>
      <w:r>
        <w:rPr>
          <w:rFonts w:ascii="Times New Roman" w:hAnsi="Times New Roman"/>
          <w:sz w:val="18"/>
          <w:szCs w:val="18"/>
        </w:rPr>
        <w:t xml:space="preserve"> metodunu veya senaryo metodunu kullanmak zorundadır.</w:t>
      </w:r>
    </w:p>
    <w:p w:rsidR="000A177A" w:rsidRDefault="000A177A" w:rsidP="000A177A">
      <w:pPr>
        <w:pStyle w:val="GvdeMetni"/>
        <w:spacing w:line="240" w:lineRule="exact"/>
        <w:ind w:firstLine="567"/>
        <w:rPr>
          <w:sz w:val="18"/>
          <w:szCs w:val="18"/>
        </w:rPr>
      </w:pPr>
      <w:r>
        <w:rPr>
          <w:rFonts w:ascii="Times New Roman" w:hAnsi="Times New Roman"/>
          <w:bCs/>
          <w:sz w:val="18"/>
          <w:szCs w:val="18"/>
        </w:rPr>
        <w:t>(2)</w:t>
      </w:r>
      <w:r>
        <w:rPr>
          <w:rFonts w:ascii="Times New Roman" w:hAnsi="Times New Roman"/>
          <w:b/>
          <w:bCs/>
          <w:sz w:val="18"/>
          <w:szCs w:val="18"/>
        </w:rPr>
        <w:t xml:space="preserve"> </w:t>
      </w:r>
      <w:r>
        <w:rPr>
          <w:rFonts w:ascii="Times New Roman" w:hAnsi="Times New Roman"/>
          <w:sz w:val="18"/>
          <w:szCs w:val="18"/>
        </w:rPr>
        <w:t xml:space="preserve">Portföy faaliyetleri büyük ölçüde </w:t>
      </w:r>
      <w:proofErr w:type="gramStart"/>
      <w:r>
        <w:rPr>
          <w:rFonts w:ascii="Times New Roman" w:hAnsi="Times New Roman"/>
          <w:sz w:val="18"/>
          <w:szCs w:val="18"/>
        </w:rPr>
        <w:t>opsiyon</w:t>
      </w:r>
      <w:proofErr w:type="gramEnd"/>
      <w:r>
        <w:rPr>
          <w:rFonts w:ascii="Times New Roman" w:hAnsi="Times New Roman"/>
          <w:sz w:val="18"/>
          <w:szCs w:val="18"/>
        </w:rPr>
        <w:t xml:space="preserve"> alım-satımına dayalı olan bankaların daha gelişmiş metotları kullanmaları gerekmektedir.</w:t>
      </w:r>
    </w:p>
    <w:p w:rsidR="000A177A" w:rsidRDefault="000A177A" w:rsidP="000A177A">
      <w:pPr>
        <w:pStyle w:val="Balk2"/>
        <w:spacing w:line="240" w:lineRule="exact"/>
        <w:ind w:firstLine="567"/>
        <w:rPr>
          <w:iCs/>
          <w:sz w:val="18"/>
          <w:szCs w:val="18"/>
        </w:rPr>
      </w:pPr>
      <w:r>
        <w:rPr>
          <w:iCs/>
          <w:sz w:val="18"/>
          <w:szCs w:val="18"/>
        </w:rPr>
        <w:t>Basitleştirilmiş Metot</w:t>
      </w:r>
    </w:p>
    <w:p w:rsidR="000A177A" w:rsidRDefault="000A177A" w:rsidP="000A177A">
      <w:pPr>
        <w:spacing w:line="240" w:lineRule="exact"/>
        <w:ind w:firstLine="567"/>
        <w:jc w:val="both"/>
        <w:rPr>
          <w:sz w:val="18"/>
          <w:szCs w:val="18"/>
        </w:rPr>
      </w:pPr>
      <w:r>
        <w:rPr>
          <w:b/>
          <w:sz w:val="18"/>
          <w:szCs w:val="18"/>
        </w:rPr>
        <w:t xml:space="preserve">MADDE 6- </w:t>
      </w:r>
      <w:r>
        <w:rPr>
          <w:bCs/>
          <w:sz w:val="18"/>
          <w:szCs w:val="18"/>
        </w:rPr>
        <w:t>(1)</w:t>
      </w:r>
      <w:r>
        <w:rPr>
          <w:b/>
          <w:bCs/>
          <w:sz w:val="18"/>
          <w:szCs w:val="18"/>
        </w:rPr>
        <w:t xml:space="preserve"> </w:t>
      </w:r>
      <w:r>
        <w:rPr>
          <w:sz w:val="18"/>
          <w:szCs w:val="18"/>
        </w:rPr>
        <w:t>Sadece,</w:t>
      </w:r>
      <w:r>
        <w:rPr>
          <w:b/>
          <w:sz w:val="18"/>
          <w:szCs w:val="18"/>
        </w:rPr>
        <w:t xml:space="preserve"> </w:t>
      </w:r>
      <w:r>
        <w:rPr>
          <w:sz w:val="18"/>
          <w:szCs w:val="18"/>
        </w:rPr>
        <w:t xml:space="preserve">sınırlı sayı ve çeşitte </w:t>
      </w:r>
      <w:proofErr w:type="gramStart"/>
      <w:r>
        <w:rPr>
          <w:sz w:val="18"/>
          <w:szCs w:val="18"/>
        </w:rPr>
        <w:t>opsiyon</w:t>
      </w:r>
      <w:proofErr w:type="gramEnd"/>
      <w:r>
        <w:rPr>
          <w:sz w:val="18"/>
          <w:szCs w:val="18"/>
        </w:rPr>
        <w:t xml:space="preserve"> sözleşmesini satın alan bankalar aşağıda yer alan tabloda belirtilen opsiyon pozisyonları ve ilgili sözleşmeye konu varlık pozisyonları için basitleştirilmiş metodu kullanabilirler. Sermaye yükümlülüğü, bankanın sahip olduğu her bir münferit </w:t>
      </w:r>
      <w:proofErr w:type="gramStart"/>
      <w:r>
        <w:rPr>
          <w:sz w:val="18"/>
          <w:szCs w:val="18"/>
        </w:rPr>
        <w:t>opsiyon</w:t>
      </w:r>
      <w:proofErr w:type="gramEnd"/>
      <w:r>
        <w:rPr>
          <w:sz w:val="18"/>
          <w:szCs w:val="18"/>
        </w:rPr>
        <w:t xml:space="preserve"> pozisyonu için hesaplanır.  Bulunan rakam, </w:t>
      </w:r>
      <w:proofErr w:type="gramStart"/>
      <w:r>
        <w:rPr>
          <w:sz w:val="18"/>
          <w:szCs w:val="18"/>
        </w:rPr>
        <w:t>opsiyon</w:t>
      </w:r>
      <w:proofErr w:type="gramEnd"/>
      <w:r>
        <w:rPr>
          <w:sz w:val="18"/>
          <w:szCs w:val="18"/>
        </w:rPr>
        <w:t xml:space="preserve"> sözleşmesine konu varlığın türüne göre, standart metot ile hesaplanan ilgili sermaye yükümlülüğüne eklenir.</w:t>
      </w:r>
    </w:p>
    <w:p w:rsidR="000A177A" w:rsidRDefault="000A177A" w:rsidP="000A177A">
      <w:pPr>
        <w:pStyle w:val="Balk6"/>
        <w:spacing w:line="240" w:lineRule="exact"/>
        <w:ind w:firstLine="567"/>
        <w:rPr>
          <w:sz w:val="18"/>
          <w:szCs w:val="18"/>
        </w:rPr>
      </w:pPr>
    </w:p>
    <w:p w:rsidR="000A177A" w:rsidRDefault="000A177A" w:rsidP="000A177A">
      <w:pPr>
        <w:pStyle w:val="Balk6"/>
        <w:spacing w:line="240" w:lineRule="exact"/>
        <w:jc w:val="center"/>
        <w:rPr>
          <w:sz w:val="18"/>
          <w:szCs w:val="18"/>
        </w:rPr>
      </w:pPr>
      <w:r>
        <w:rPr>
          <w:sz w:val="18"/>
          <w:szCs w:val="18"/>
        </w:rPr>
        <w:t>Basitleştirilmiş Metot</w:t>
      </w:r>
    </w:p>
    <w:tbl>
      <w:tblPr>
        <w:tblW w:w="8505" w:type="dxa"/>
        <w:jc w:val="center"/>
        <w:tblBorders>
          <w:top w:val="single" w:sz="4" w:space="0" w:color="auto"/>
          <w:left w:val="single" w:sz="4" w:space="0" w:color="auto"/>
          <w:bottom w:val="single" w:sz="4" w:space="0" w:color="auto"/>
          <w:right w:val="single" w:sz="4" w:space="0" w:color="auto"/>
        </w:tblBorders>
        <w:tblLook w:val="04A0"/>
      </w:tblPr>
      <w:tblGrid>
        <w:gridCol w:w="2790"/>
        <w:gridCol w:w="5715"/>
      </w:tblGrid>
      <w:tr w:rsidR="000A177A">
        <w:trPr>
          <w:jc w:val="center"/>
        </w:trPr>
        <w:tc>
          <w:tcPr>
            <w:tcW w:w="1640" w:type="pct"/>
            <w:tcBorders>
              <w:top w:val="single" w:sz="4" w:space="0" w:color="auto"/>
              <w:left w:val="single" w:sz="4" w:space="0" w:color="auto"/>
              <w:bottom w:val="single" w:sz="4" w:space="0" w:color="auto"/>
              <w:right w:val="single" w:sz="4" w:space="0" w:color="auto"/>
            </w:tcBorders>
            <w:hideMark/>
          </w:tcPr>
          <w:p w:rsidR="000A177A" w:rsidRDefault="000A177A">
            <w:pPr>
              <w:pStyle w:val="Balk9"/>
              <w:spacing w:line="240" w:lineRule="exact"/>
              <w:jc w:val="both"/>
              <w:rPr>
                <w:sz w:val="18"/>
                <w:szCs w:val="18"/>
              </w:rPr>
            </w:pPr>
            <w:r>
              <w:rPr>
                <w:sz w:val="18"/>
                <w:szCs w:val="18"/>
              </w:rPr>
              <w:t>Pozisyon</w:t>
            </w:r>
          </w:p>
        </w:tc>
        <w:tc>
          <w:tcPr>
            <w:tcW w:w="3360" w:type="pct"/>
            <w:tcBorders>
              <w:top w:val="single" w:sz="4" w:space="0" w:color="auto"/>
              <w:left w:val="single" w:sz="4" w:space="0" w:color="auto"/>
              <w:bottom w:val="single" w:sz="4" w:space="0" w:color="auto"/>
              <w:right w:val="single" w:sz="4" w:space="0" w:color="auto"/>
            </w:tcBorders>
            <w:hideMark/>
          </w:tcPr>
          <w:p w:rsidR="000A177A" w:rsidRDefault="000A177A">
            <w:pPr>
              <w:pStyle w:val="Balk9"/>
              <w:spacing w:line="240" w:lineRule="exact"/>
              <w:jc w:val="both"/>
              <w:rPr>
                <w:sz w:val="18"/>
                <w:szCs w:val="18"/>
              </w:rPr>
            </w:pPr>
            <w:r>
              <w:rPr>
                <w:sz w:val="18"/>
                <w:szCs w:val="18"/>
              </w:rPr>
              <w:t>Uygulama</w:t>
            </w:r>
          </w:p>
        </w:tc>
      </w:tr>
      <w:tr w:rsidR="000A177A">
        <w:trPr>
          <w:jc w:val="center"/>
        </w:trPr>
        <w:tc>
          <w:tcPr>
            <w:tcW w:w="1640" w:type="pct"/>
            <w:tcBorders>
              <w:top w:val="single" w:sz="4" w:space="0" w:color="auto"/>
              <w:left w:val="single" w:sz="4" w:space="0" w:color="auto"/>
              <w:bottom w:val="single" w:sz="4" w:space="0" w:color="auto"/>
              <w:right w:val="single" w:sz="4" w:space="0" w:color="auto"/>
            </w:tcBorders>
            <w:hideMark/>
          </w:tcPr>
          <w:p w:rsidR="000A177A" w:rsidRDefault="000A177A">
            <w:pPr>
              <w:spacing w:line="240" w:lineRule="exact"/>
              <w:jc w:val="center"/>
              <w:rPr>
                <w:sz w:val="18"/>
                <w:szCs w:val="18"/>
              </w:rPr>
            </w:pPr>
            <w:r>
              <w:rPr>
                <w:sz w:val="18"/>
                <w:szCs w:val="18"/>
              </w:rPr>
              <w:t xml:space="preserve">Sözleşmeye konu varlığa ilişkin uzun pozisyon ve uzun satım </w:t>
            </w:r>
            <w:proofErr w:type="gramStart"/>
            <w:r>
              <w:rPr>
                <w:sz w:val="18"/>
                <w:szCs w:val="18"/>
              </w:rPr>
              <w:t>opsiyonu</w:t>
            </w:r>
            <w:proofErr w:type="gramEnd"/>
          </w:p>
          <w:p w:rsidR="000A177A" w:rsidRDefault="000A177A">
            <w:pPr>
              <w:spacing w:line="240" w:lineRule="exact"/>
              <w:jc w:val="center"/>
              <w:rPr>
                <w:sz w:val="18"/>
                <w:szCs w:val="18"/>
              </w:rPr>
            </w:pPr>
            <w:proofErr w:type="gramStart"/>
            <w:r>
              <w:rPr>
                <w:sz w:val="18"/>
                <w:szCs w:val="18"/>
              </w:rPr>
              <w:t>veya</w:t>
            </w:r>
            <w:proofErr w:type="gramEnd"/>
          </w:p>
          <w:p w:rsidR="000A177A" w:rsidRDefault="000A177A">
            <w:pPr>
              <w:spacing w:line="240" w:lineRule="exact"/>
              <w:jc w:val="center"/>
              <w:rPr>
                <w:sz w:val="18"/>
                <w:szCs w:val="18"/>
              </w:rPr>
            </w:pPr>
            <w:r>
              <w:rPr>
                <w:sz w:val="18"/>
                <w:szCs w:val="18"/>
              </w:rPr>
              <w:lastRenderedPageBreak/>
              <w:t xml:space="preserve">Sözleşmeye konu varlığa ilişkin kısa pozisyon ve uzun alım </w:t>
            </w:r>
            <w:proofErr w:type="gramStart"/>
            <w:r>
              <w:rPr>
                <w:sz w:val="18"/>
                <w:szCs w:val="18"/>
              </w:rPr>
              <w:t>opsiyonu</w:t>
            </w:r>
            <w:proofErr w:type="gramEnd"/>
          </w:p>
        </w:tc>
        <w:tc>
          <w:tcPr>
            <w:tcW w:w="3360" w:type="pct"/>
            <w:tcBorders>
              <w:top w:val="single" w:sz="4" w:space="0" w:color="auto"/>
              <w:left w:val="single" w:sz="4" w:space="0" w:color="auto"/>
              <w:bottom w:val="single" w:sz="4" w:space="0" w:color="auto"/>
              <w:right w:val="single" w:sz="4" w:space="0" w:color="auto"/>
            </w:tcBorders>
          </w:tcPr>
          <w:p w:rsidR="000A177A" w:rsidRDefault="000A177A">
            <w:pPr>
              <w:spacing w:line="240" w:lineRule="exact"/>
              <w:jc w:val="both"/>
              <w:rPr>
                <w:sz w:val="18"/>
                <w:szCs w:val="18"/>
              </w:rPr>
            </w:pPr>
          </w:p>
          <w:p w:rsidR="000A177A" w:rsidRDefault="000A177A">
            <w:pPr>
              <w:spacing w:line="240" w:lineRule="exact"/>
              <w:jc w:val="both"/>
              <w:rPr>
                <w:sz w:val="18"/>
                <w:szCs w:val="18"/>
              </w:rPr>
            </w:pPr>
            <w:r>
              <w:rPr>
                <w:sz w:val="18"/>
                <w:szCs w:val="18"/>
              </w:rPr>
              <w:t xml:space="preserve">Sermaye yükümlülüğü, sözleşmeye konu </w:t>
            </w:r>
            <w:proofErr w:type="gramStart"/>
            <w:r>
              <w:rPr>
                <w:sz w:val="18"/>
                <w:szCs w:val="18"/>
              </w:rPr>
              <w:t>varlığın  piyasa</w:t>
            </w:r>
            <w:proofErr w:type="gramEnd"/>
            <w:r>
              <w:rPr>
                <w:sz w:val="18"/>
                <w:szCs w:val="18"/>
              </w:rPr>
              <w:t xml:space="preserve"> fiyatı ile spesifik ve genel piyasa riski oranları toplamının çarpımından, kârda opsiyonun gerçek değerinin çıkarılması suretiyle bulunur.</w:t>
            </w:r>
          </w:p>
        </w:tc>
      </w:tr>
      <w:tr w:rsidR="000A177A">
        <w:trPr>
          <w:jc w:val="center"/>
        </w:trPr>
        <w:tc>
          <w:tcPr>
            <w:tcW w:w="1640" w:type="pct"/>
            <w:tcBorders>
              <w:top w:val="single" w:sz="4" w:space="0" w:color="auto"/>
              <w:left w:val="single" w:sz="4" w:space="0" w:color="auto"/>
              <w:bottom w:val="single" w:sz="4" w:space="0" w:color="auto"/>
              <w:right w:val="single" w:sz="4" w:space="0" w:color="auto"/>
            </w:tcBorders>
          </w:tcPr>
          <w:p w:rsidR="000A177A" w:rsidRDefault="000A177A">
            <w:pPr>
              <w:spacing w:line="240" w:lineRule="exact"/>
              <w:jc w:val="center"/>
              <w:rPr>
                <w:sz w:val="18"/>
                <w:szCs w:val="18"/>
              </w:rPr>
            </w:pPr>
          </w:p>
          <w:p w:rsidR="000A177A" w:rsidRDefault="000A177A">
            <w:pPr>
              <w:spacing w:line="240" w:lineRule="exact"/>
              <w:jc w:val="center"/>
              <w:rPr>
                <w:sz w:val="18"/>
                <w:szCs w:val="18"/>
              </w:rPr>
            </w:pPr>
            <w:r>
              <w:rPr>
                <w:sz w:val="18"/>
                <w:szCs w:val="18"/>
              </w:rPr>
              <w:t xml:space="preserve">Uzun alım </w:t>
            </w:r>
            <w:proofErr w:type="gramStart"/>
            <w:r>
              <w:rPr>
                <w:sz w:val="18"/>
                <w:szCs w:val="18"/>
              </w:rPr>
              <w:t>opsiyonu</w:t>
            </w:r>
            <w:proofErr w:type="gramEnd"/>
          </w:p>
          <w:p w:rsidR="000A177A" w:rsidRDefault="000A177A">
            <w:pPr>
              <w:pStyle w:val="Balk5"/>
              <w:spacing w:line="240" w:lineRule="exact"/>
              <w:jc w:val="center"/>
              <w:rPr>
                <w:sz w:val="18"/>
                <w:szCs w:val="18"/>
              </w:rPr>
            </w:pPr>
            <w:proofErr w:type="gramStart"/>
            <w:r>
              <w:rPr>
                <w:sz w:val="18"/>
                <w:szCs w:val="18"/>
              </w:rPr>
              <w:t>veya</w:t>
            </w:r>
            <w:proofErr w:type="gramEnd"/>
          </w:p>
          <w:p w:rsidR="000A177A" w:rsidRDefault="000A177A">
            <w:pPr>
              <w:pStyle w:val="Balk4"/>
              <w:spacing w:line="240" w:lineRule="exact"/>
              <w:rPr>
                <w:sz w:val="18"/>
                <w:szCs w:val="18"/>
              </w:rPr>
            </w:pPr>
            <w:r>
              <w:rPr>
                <w:sz w:val="18"/>
                <w:szCs w:val="18"/>
              </w:rPr>
              <w:t xml:space="preserve">Uzun satım </w:t>
            </w:r>
            <w:proofErr w:type="gramStart"/>
            <w:r>
              <w:rPr>
                <w:sz w:val="18"/>
                <w:szCs w:val="18"/>
              </w:rPr>
              <w:t>opsiyonu</w:t>
            </w:r>
            <w:proofErr w:type="gramEnd"/>
          </w:p>
        </w:tc>
        <w:tc>
          <w:tcPr>
            <w:tcW w:w="3360" w:type="pct"/>
            <w:tcBorders>
              <w:top w:val="single" w:sz="4" w:space="0" w:color="auto"/>
              <w:left w:val="single" w:sz="4" w:space="0" w:color="auto"/>
              <w:bottom w:val="single" w:sz="4" w:space="0" w:color="auto"/>
              <w:right w:val="single" w:sz="4" w:space="0" w:color="auto"/>
            </w:tcBorders>
            <w:hideMark/>
          </w:tcPr>
          <w:p w:rsidR="000A177A" w:rsidRDefault="000A177A">
            <w:pPr>
              <w:spacing w:line="240" w:lineRule="exact"/>
              <w:jc w:val="both"/>
              <w:rPr>
                <w:sz w:val="18"/>
                <w:szCs w:val="18"/>
              </w:rPr>
            </w:pPr>
            <w:r>
              <w:rPr>
                <w:sz w:val="18"/>
                <w:szCs w:val="18"/>
              </w:rPr>
              <w:t>Sermaye yükümlülüğü, aşağıdakilerden küçük olanıdır:</w:t>
            </w:r>
          </w:p>
          <w:p w:rsidR="000A177A" w:rsidRDefault="000A177A" w:rsidP="00691827">
            <w:pPr>
              <w:pStyle w:val="GvdeMetniGirintisi"/>
              <w:numPr>
                <w:ilvl w:val="0"/>
                <w:numId w:val="1"/>
              </w:numPr>
              <w:tabs>
                <w:tab w:val="num" w:pos="411"/>
              </w:tabs>
              <w:spacing w:after="0" w:line="240" w:lineRule="exact"/>
              <w:ind w:left="0" w:firstLine="0"/>
              <w:jc w:val="both"/>
              <w:rPr>
                <w:sz w:val="18"/>
                <w:szCs w:val="18"/>
              </w:rPr>
            </w:pPr>
            <w:r>
              <w:rPr>
                <w:sz w:val="18"/>
                <w:szCs w:val="18"/>
              </w:rPr>
              <w:t xml:space="preserve">Sözleşmeye konu varlığın piyasa fiyatı ile </w:t>
            </w:r>
            <w:proofErr w:type="gramStart"/>
            <w:r>
              <w:rPr>
                <w:sz w:val="18"/>
                <w:szCs w:val="18"/>
              </w:rPr>
              <w:t>spesifik</w:t>
            </w:r>
            <w:proofErr w:type="gramEnd"/>
            <w:r>
              <w:rPr>
                <w:sz w:val="18"/>
                <w:szCs w:val="18"/>
              </w:rPr>
              <w:t xml:space="preserve"> ve genel piyasa riski oranları toplamının çarpımı</w:t>
            </w:r>
          </w:p>
          <w:p w:rsidR="000A177A" w:rsidRDefault="000A177A" w:rsidP="00691827">
            <w:pPr>
              <w:pStyle w:val="GvdeMetniGirintisi"/>
              <w:numPr>
                <w:ilvl w:val="0"/>
                <w:numId w:val="1"/>
              </w:numPr>
              <w:tabs>
                <w:tab w:val="num" w:pos="411"/>
              </w:tabs>
              <w:spacing w:after="0" w:line="240" w:lineRule="exact"/>
              <w:ind w:left="0" w:firstLine="0"/>
              <w:jc w:val="both"/>
              <w:rPr>
                <w:sz w:val="18"/>
                <w:szCs w:val="18"/>
              </w:rPr>
            </w:pPr>
            <w:r>
              <w:rPr>
                <w:sz w:val="18"/>
                <w:szCs w:val="18"/>
              </w:rPr>
              <w:t>Opsiyonun piyasa fiyatı</w:t>
            </w:r>
          </w:p>
        </w:tc>
      </w:tr>
    </w:tbl>
    <w:p w:rsidR="000A177A" w:rsidRDefault="000A177A" w:rsidP="000A177A">
      <w:pPr>
        <w:pStyle w:val="Balk2"/>
        <w:spacing w:line="240" w:lineRule="exact"/>
        <w:ind w:firstLine="567"/>
        <w:rPr>
          <w:iCs/>
          <w:sz w:val="18"/>
          <w:szCs w:val="18"/>
        </w:rPr>
      </w:pPr>
      <w:bookmarkStart w:id="1" w:name="_Toc520019264"/>
    </w:p>
    <w:p w:rsidR="000A177A" w:rsidRDefault="000A177A" w:rsidP="000A177A">
      <w:pPr>
        <w:pStyle w:val="Balk2"/>
        <w:spacing w:line="240" w:lineRule="exact"/>
        <w:ind w:firstLine="567"/>
        <w:rPr>
          <w:b w:val="0"/>
          <w:sz w:val="18"/>
          <w:szCs w:val="18"/>
        </w:rPr>
      </w:pPr>
      <w:r>
        <w:rPr>
          <w:b w:val="0"/>
          <w:sz w:val="18"/>
          <w:szCs w:val="18"/>
        </w:rPr>
        <w:t>(2) Bu maddenin uygulanmasında,</w:t>
      </w:r>
    </w:p>
    <w:p w:rsidR="000A177A" w:rsidRDefault="000A177A" w:rsidP="000A177A">
      <w:pPr>
        <w:pStyle w:val="Balk2"/>
        <w:spacing w:line="240" w:lineRule="exact"/>
        <w:ind w:firstLine="567"/>
        <w:rPr>
          <w:b w:val="0"/>
          <w:sz w:val="18"/>
          <w:szCs w:val="18"/>
        </w:rPr>
      </w:pPr>
      <w:r>
        <w:rPr>
          <w:b w:val="0"/>
          <w:sz w:val="18"/>
          <w:szCs w:val="18"/>
        </w:rPr>
        <w:t xml:space="preserve">a) Sözleşmeye konu varlığın açıkça belirlenememesi durumunda </w:t>
      </w:r>
      <w:proofErr w:type="gramStart"/>
      <w:r>
        <w:rPr>
          <w:b w:val="0"/>
          <w:sz w:val="18"/>
          <w:szCs w:val="18"/>
        </w:rPr>
        <w:t>opsiyonun</w:t>
      </w:r>
      <w:proofErr w:type="gramEnd"/>
      <w:r>
        <w:rPr>
          <w:b w:val="0"/>
          <w:sz w:val="18"/>
          <w:szCs w:val="18"/>
        </w:rPr>
        <w:t xml:space="preserve"> uygulanması sonucunda elde edilecek varlık sözleşmeye konu varlık olarak kabul edilir.</w:t>
      </w:r>
    </w:p>
    <w:p w:rsidR="000A177A" w:rsidRDefault="000A177A" w:rsidP="000A177A">
      <w:pPr>
        <w:pStyle w:val="Balk2"/>
        <w:spacing w:line="240" w:lineRule="exact"/>
        <w:ind w:firstLine="567"/>
        <w:rPr>
          <w:b w:val="0"/>
          <w:sz w:val="18"/>
          <w:szCs w:val="18"/>
        </w:rPr>
      </w:pPr>
      <w:r>
        <w:rPr>
          <w:b w:val="0"/>
          <w:sz w:val="18"/>
          <w:szCs w:val="18"/>
        </w:rPr>
        <w:t xml:space="preserve">b) Faiz tavanı, faiz tabanı ve </w:t>
      </w:r>
      <w:proofErr w:type="spellStart"/>
      <w:r>
        <w:rPr>
          <w:b w:val="0"/>
          <w:sz w:val="18"/>
          <w:szCs w:val="18"/>
        </w:rPr>
        <w:t>swaptions</w:t>
      </w:r>
      <w:proofErr w:type="spellEnd"/>
      <w:r>
        <w:rPr>
          <w:b w:val="0"/>
          <w:sz w:val="18"/>
          <w:szCs w:val="18"/>
        </w:rPr>
        <w:t xml:space="preserve"> gibi piyasa değerinin sıfır olduğu durumlarda sözleşmeye konu varlığın piyasa fiyatı olarak </w:t>
      </w:r>
      <w:proofErr w:type="gramStart"/>
      <w:r>
        <w:rPr>
          <w:b w:val="0"/>
          <w:sz w:val="18"/>
          <w:szCs w:val="18"/>
        </w:rPr>
        <w:t>nominal</w:t>
      </w:r>
      <w:proofErr w:type="gramEnd"/>
      <w:r>
        <w:rPr>
          <w:b w:val="0"/>
          <w:sz w:val="18"/>
          <w:szCs w:val="18"/>
        </w:rPr>
        <w:t xml:space="preserve"> değerler kullanılır.</w:t>
      </w:r>
    </w:p>
    <w:p w:rsidR="000A177A" w:rsidRDefault="000A177A" w:rsidP="000A177A">
      <w:pPr>
        <w:pStyle w:val="Balk2"/>
        <w:spacing w:line="240" w:lineRule="exact"/>
        <w:ind w:firstLine="567"/>
        <w:rPr>
          <w:b w:val="0"/>
          <w:sz w:val="18"/>
          <w:szCs w:val="18"/>
        </w:rPr>
      </w:pPr>
      <w:r>
        <w:rPr>
          <w:b w:val="0"/>
          <w:sz w:val="18"/>
          <w:szCs w:val="18"/>
        </w:rPr>
        <w:t xml:space="preserve">c) Vadeye kalan süresi altı aydan fazla olan </w:t>
      </w:r>
      <w:proofErr w:type="gramStart"/>
      <w:r>
        <w:rPr>
          <w:b w:val="0"/>
          <w:sz w:val="18"/>
          <w:szCs w:val="18"/>
        </w:rPr>
        <w:t>opsiyonlar</w:t>
      </w:r>
      <w:proofErr w:type="gramEnd"/>
      <w:r>
        <w:rPr>
          <w:b w:val="0"/>
          <w:sz w:val="18"/>
          <w:szCs w:val="18"/>
        </w:rPr>
        <w:t xml:space="preserve"> için kullanım fiyatı, piyasa fiyatı yerine vadeli alım/satım fiyatı ile karşılaştırılır.</w:t>
      </w:r>
    </w:p>
    <w:p w:rsidR="000A177A" w:rsidRDefault="000A177A" w:rsidP="000A177A">
      <w:pPr>
        <w:pStyle w:val="Balk2"/>
        <w:spacing w:line="240" w:lineRule="exact"/>
        <w:ind w:firstLine="567"/>
        <w:rPr>
          <w:b w:val="0"/>
          <w:sz w:val="18"/>
          <w:szCs w:val="18"/>
        </w:rPr>
      </w:pPr>
      <w:r>
        <w:rPr>
          <w:b w:val="0"/>
          <w:sz w:val="18"/>
          <w:szCs w:val="18"/>
        </w:rPr>
        <w:t xml:space="preserve">ç) Opsiyonun piyasa fiyatının tespit edilememesi halinde, piyasa fiyatı yerine </w:t>
      </w:r>
      <w:proofErr w:type="gramStart"/>
      <w:r>
        <w:rPr>
          <w:b w:val="0"/>
          <w:sz w:val="18"/>
          <w:szCs w:val="18"/>
        </w:rPr>
        <w:t>opsiyonun</w:t>
      </w:r>
      <w:proofErr w:type="gramEnd"/>
      <w:r>
        <w:rPr>
          <w:b w:val="0"/>
          <w:sz w:val="18"/>
          <w:szCs w:val="18"/>
        </w:rPr>
        <w:t xml:space="preserve"> kayıtlı değeri kullanılabilir.</w:t>
      </w:r>
    </w:p>
    <w:p w:rsidR="000A177A" w:rsidRDefault="000A177A" w:rsidP="000A177A">
      <w:pPr>
        <w:pStyle w:val="Balk2"/>
        <w:spacing w:line="240" w:lineRule="exact"/>
        <w:ind w:firstLine="567"/>
        <w:rPr>
          <w:b w:val="0"/>
          <w:sz w:val="18"/>
          <w:szCs w:val="18"/>
        </w:rPr>
      </w:pPr>
      <w:r>
        <w:rPr>
          <w:b w:val="0"/>
          <w:sz w:val="18"/>
          <w:szCs w:val="18"/>
        </w:rPr>
        <w:t xml:space="preserve">d) Sözleşmeye konu varlığın döviz veya emtia olması halinde, sermaye yükümlüğünün hesaplanmasında </w:t>
      </w:r>
      <w:proofErr w:type="gramStart"/>
      <w:r>
        <w:rPr>
          <w:b w:val="0"/>
          <w:sz w:val="18"/>
          <w:szCs w:val="18"/>
        </w:rPr>
        <w:t>spesifik</w:t>
      </w:r>
      <w:proofErr w:type="gramEnd"/>
      <w:r>
        <w:rPr>
          <w:b w:val="0"/>
          <w:sz w:val="18"/>
          <w:szCs w:val="18"/>
        </w:rPr>
        <w:t xml:space="preserve"> ve genel piyasa riski oranları toplamı yerine, döviz için yüzde sekiz, emtia için yüzde </w:t>
      </w:r>
      <w:proofErr w:type="spellStart"/>
      <w:r>
        <w:rPr>
          <w:b w:val="0"/>
          <w:sz w:val="18"/>
          <w:szCs w:val="18"/>
        </w:rPr>
        <w:t>onbeş</w:t>
      </w:r>
      <w:proofErr w:type="spellEnd"/>
      <w:r>
        <w:rPr>
          <w:b w:val="0"/>
          <w:sz w:val="18"/>
          <w:szCs w:val="18"/>
        </w:rPr>
        <w:t xml:space="preserve"> oranları uygulanır.</w:t>
      </w:r>
    </w:p>
    <w:p w:rsidR="000A177A" w:rsidRDefault="000A177A" w:rsidP="000A177A">
      <w:pPr>
        <w:pStyle w:val="Balk2"/>
        <w:spacing w:line="240" w:lineRule="exact"/>
        <w:ind w:firstLine="567"/>
        <w:rPr>
          <w:iCs/>
          <w:sz w:val="18"/>
          <w:szCs w:val="18"/>
        </w:rPr>
      </w:pPr>
      <w:r>
        <w:rPr>
          <w:iCs/>
          <w:sz w:val="18"/>
          <w:szCs w:val="18"/>
        </w:rPr>
        <w:t xml:space="preserve">Delta Faktörü ile </w:t>
      </w:r>
      <w:proofErr w:type="spellStart"/>
      <w:r>
        <w:rPr>
          <w:iCs/>
          <w:sz w:val="18"/>
          <w:szCs w:val="18"/>
        </w:rPr>
        <w:t>Ağırlıklandırma</w:t>
      </w:r>
      <w:proofErr w:type="spellEnd"/>
      <w:r>
        <w:rPr>
          <w:iCs/>
          <w:sz w:val="18"/>
          <w:szCs w:val="18"/>
        </w:rPr>
        <w:t xml:space="preserve"> Metodu</w:t>
      </w:r>
      <w:bookmarkEnd w:id="1"/>
    </w:p>
    <w:p w:rsidR="000A177A" w:rsidRDefault="000A177A" w:rsidP="000A177A">
      <w:pPr>
        <w:spacing w:line="240" w:lineRule="exact"/>
        <w:ind w:firstLine="567"/>
        <w:jc w:val="both"/>
        <w:rPr>
          <w:sz w:val="18"/>
          <w:szCs w:val="18"/>
        </w:rPr>
      </w:pPr>
      <w:r>
        <w:rPr>
          <w:b/>
          <w:sz w:val="18"/>
          <w:szCs w:val="18"/>
        </w:rPr>
        <w:t xml:space="preserve">MADDE 7- </w:t>
      </w:r>
      <w:r>
        <w:rPr>
          <w:bCs/>
          <w:sz w:val="18"/>
          <w:szCs w:val="18"/>
        </w:rPr>
        <w:t>(1)</w:t>
      </w:r>
      <w:r>
        <w:rPr>
          <w:b/>
          <w:bCs/>
          <w:sz w:val="18"/>
          <w:szCs w:val="18"/>
        </w:rPr>
        <w:t xml:space="preserve"> </w:t>
      </w:r>
      <w:r>
        <w:rPr>
          <w:bCs/>
          <w:sz w:val="18"/>
          <w:szCs w:val="18"/>
        </w:rPr>
        <w:t xml:space="preserve">Bu metot ile sermaye yükümlülüğü; dolaylı sermaye yükümlülüğü hesaplaması ve 8 inci maddedeki usul ve esaslar çerçevesinde </w:t>
      </w:r>
      <w:r>
        <w:rPr>
          <w:sz w:val="18"/>
          <w:szCs w:val="18"/>
        </w:rPr>
        <w:t xml:space="preserve">gama ve </w:t>
      </w:r>
      <w:proofErr w:type="spellStart"/>
      <w:r>
        <w:rPr>
          <w:sz w:val="18"/>
          <w:szCs w:val="18"/>
        </w:rPr>
        <w:t>vega</w:t>
      </w:r>
      <w:proofErr w:type="spellEnd"/>
      <w:r>
        <w:rPr>
          <w:sz w:val="18"/>
          <w:szCs w:val="18"/>
        </w:rPr>
        <w:t xml:space="preserve"> riskleri için sermaye yükümlülüğü hesaplamalarından oluşur. Dolaylı sermaye yükümlülüğü hesaplaması, </w:t>
      </w:r>
      <w:proofErr w:type="gramStart"/>
      <w:r>
        <w:rPr>
          <w:sz w:val="18"/>
          <w:szCs w:val="18"/>
        </w:rPr>
        <w:t>opsiyon</w:t>
      </w:r>
      <w:proofErr w:type="gramEnd"/>
      <w:r>
        <w:rPr>
          <w:sz w:val="18"/>
          <w:szCs w:val="18"/>
        </w:rPr>
        <w:t xml:space="preserve"> yazıcısı bankaların, opsiyonlarının delta eşdeğerlerini opsiyona konu varlığa ilişkin bir pozisyon olarak bu varlığın tabi olduğu riskler çerçevesinde Yönetmeliğin genel piyasa riski, spesifik risk, kur riski ve emtia riski için sermaye yükümlülüğü hesaplamalarına dahil etmelerini ifade eder.</w:t>
      </w:r>
      <w:r>
        <w:rPr>
          <w:b/>
          <w:sz w:val="18"/>
          <w:szCs w:val="18"/>
        </w:rPr>
        <w:t xml:space="preserve"> </w:t>
      </w:r>
      <w:r>
        <w:rPr>
          <w:sz w:val="18"/>
          <w:szCs w:val="18"/>
        </w:rPr>
        <w:t>Bu işlemde</w:t>
      </w:r>
      <w:r>
        <w:rPr>
          <w:b/>
          <w:sz w:val="18"/>
          <w:szCs w:val="18"/>
        </w:rPr>
        <w:t xml:space="preserve"> a</w:t>
      </w:r>
      <w:r>
        <w:rPr>
          <w:sz w:val="18"/>
          <w:szCs w:val="18"/>
        </w:rPr>
        <w:t xml:space="preserve">lım </w:t>
      </w:r>
      <w:proofErr w:type="gramStart"/>
      <w:r>
        <w:rPr>
          <w:sz w:val="18"/>
          <w:szCs w:val="18"/>
        </w:rPr>
        <w:t>opsiyonları</w:t>
      </w:r>
      <w:proofErr w:type="gramEnd"/>
      <w:r>
        <w:rPr>
          <w:b/>
          <w:sz w:val="18"/>
          <w:szCs w:val="18"/>
        </w:rPr>
        <w:t xml:space="preserve"> </w:t>
      </w:r>
      <w:r>
        <w:rPr>
          <w:sz w:val="18"/>
          <w:szCs w:val="18"/>
        </w:rPr>
        <w:t>sözleşmeye konu varlıkta uzun; satım opsiyonları ise sözleşmeye konu varlıkta kısa pozisyon olarak dikkate alınır.</w:t>
      </w:r>
    </w:p>
    <w:p w:rsidR="000A177A" w:rsidRDefault="000A177A" w:rsidP="000A177A">
      <w:pPr>
        <w:spacing w:line="240" w:lineRule="exact"/>
        <w:ind w:firstLine="567"/>
        <w:jc w:val="both"/>
        <w:rPr>
          <w:sz w:val="18"/>
          <w:szCs w:val="18"/>
        </w:rPr>
      </w:pPr>
      <w:r>
        <w:rPr>
          <w:sz w:val="18"/>
          <w:szCs w:val="18"/>
        </w:rPr>
        <w:t xml:space="preserve">(2) Getirisi faiz oranı ile ilişkilendirilmiş finansal araçları konu alan </w:t>
      </w:r>
      <w:proofErr w:type="gramStart"/>
      <w:r>
        <w:rPr>
          <w:sz w:val="18"/>
          <w:szCs w:val="18"/>
        </w:rPr>
        <w:t>opsiyonlarda</w:t>
      </w:r>
      <w:proofErr w:type="gramEnd"/>
      <w:r>
        <w:rPr>
          <w:sz w:val="18"/>
          <w:szCs w:val="18"/>
        </w:rPr>
        <w:t>, birinci fıkra çerçevesinde bulunacak varlığa ilişkin pozisyonun vadesi, diğer türev finansal araçlarda olduğu gibi, işleme konu finansal sözleşmenin işleme konulduğu tarihteki ve sözleşmenin vadesinin geldiği tarihteki durumu dikkate alınmak suretiyle bulunur ve tespit edilen vadeye sahip bir varlık pozisyonu olarak işlem görür.</w:t>
      </w:r>
    </w:p>
    <w:p w:rsidR="000A177A" w:rsidRDefault="000A177A" w:rsidP="000A177A">
      <w:pPr>
        <w:pStyle w:val="GvdeMetniGirintisi"/>
        <w:spacing w:after="0" w:line="240" w:lineRule="exact"/>
        <w:ind w:left="0" w:firstLine="567"/>
        <w:jc w:val="both"/>
        <w:rPr>
          <w:sz w:val="18"/>
          <w:szCs w:val="18"/>
        </w:rPr>
      </w:pPr>
      <w:r>
        <w:rPr>
          <w:sz w:val="18"/>
          <w:szCs w:val="18"/>
        </w:rPr>
        <w:t xml:space="preserve">(3) Faiz tavanı ve faiz tabanı içeren değişken faizli finansal araçlar, değişken faizli finansal araç ve Avrupa tipi </w:t>
      </w:r>
      <w:proofErr w:type="gramStart"/>
      <w:r>
        <w:rPr>
          <w:sz w:val="18"/>
          <w:szCs w:val="18"/>
        </w:rPr>
        <w:t>opsiyon</w:t>
      </w:r>
      <w:proofErr w:type="gramEnd"/>
      <w:r>
        <w:rPr>
          <w:sz w:val="18"/>
          <w:szCs w:val="18"/>
        </w:rPr>
        <w:t xml:space="preserve"> serilerinin kombinasyonu olarak değerlendirilir.</w:t>
      </w:r>
    </w:p>
    <w:p w:rsidR="000A177A" w:rsidRDefault="000A177A" w:rsidP="000A177A">
      <w:pPr>
        <w:spacing w:line="240" w:lineRule="exact"/>
        <w:ind w:firstLine="567"/>
        <w:jc w:val="both"/>
        <w:rPr>
          <w:sz w:val="18"/>
          <w:szCs w:val="18"/>
        </w:rPr>
      </w:pPr>
      <w:r>
        <w:rPr>
          <w:bCs/>
          <w:sz w:val="18"/>
          <w:szCs w:val="18"/>
        </w:rPr>
        <w:t>(4)</w:t>
      </w:r>
      <w:r>
        <w:rPr>
          <w:b/>
          <w:bCs/>
          <w:sz w:val="18"/>
          <w:szCs w:val="18"/>
        </w:rPr>
        <w:t xml:space="preserve"> </w:t>
      </w:r>
      <w:r>
        <w:rPr>
          <w:sz w:val="18"/>
          <w:szCs w:val="18"/>
        </w:rPr>
        <w:t xml:space="preserve">Sözleşmeye konu varlık hisse senedi ise, ülkelerin farklı teşkilatlanmış borsalarında işlem gören </w:t>
      </w:r>
      <w:proofErr w:type="gramStart"/>
      <w:r>
        <w:rPr>
          <w:sz w:val="18"/>
          <w:szCs w:val="18"/>
        </w:rPr>
        <w:t>opsiyonların</w:t>
      </w:r>
      <w:proofErr w:type="gramEnd"/>
      <w:r>
        <w:rPr>
          <w:sz w:val="18"/>
          <w:szCs w:val="18"/>
        </w:rPr>
        <w:t xml:space="preserve"> nitelikleri aynı olsa bile bu hesaplamada ayrı araçlar olarak değerlendirilir.</w:t>
      </w:r>
    </w:p>
    <w:p w:rsidR="000A177A" w:rsidRDefault="000A177A" w:rsidP="000A177A">
      <w:pPr>
        <w:spacing w:line="240" w:lineRule="exact"/>
        <w:ind w:firstLine="567"/>
        <w:jc w:val="both"/>
        <w:rPr>
          <w:sz w:val="18"/>
          <w:szCs w:val="18"/>
        </w:rPr>
      </w:pPr>
      <w:r>
        <w:rPr>
          <w:sz w:val="18"/>
          <w:szCs w:val="18"/>
        </w:rPr>
        <w:t xml:space="preserve">(5) Opsiyona konu varlığın hisse senedi endeksine dayalı </w:t>
      </w:r>
      <w:proofErr w:type="spellStart"/>
      <w:r>
        <w:rPr>
          <w:sz w:val="18"/>
          <w:szCs w:val="18"/>
        </w:rPr>
        <w:t>future</w:t>
      </w:r>
      <w:proofErr w:type="spellEnd"/>
      <w:r>
        <w:rPr>
          <w:sz w:val="18"/>
          <w:szCs w:val="18"/>
        </w:rPr>
        <w:t xml:space="preserve"> sözleşmesi veya hisse senedi endeksi olması halinde, bu opsiyonlar delta eşdeğerlerine eşit bir hisse senedi endeksine dayalı </w:t>
      </w:r>
      <w:proofErr w:type="spellStart"/>
      <w:r>
        <w:rPr>
          <w:sz w:val="18"/>
          <w:szCs w:val="18"/>
        </w:rPr>
        <w:t>future</w:t>
      </w:r>
      <w:proofErr w:type="spellEnd"/>
      <w:r>
        <w:rPr>
          <w:sz w:val="18"/>
          <w:szCs w:val="18"/>
        </w:rPr>
        <w:t xml:space="preserve"> sözleşmesi olarak birinci fıkra çerçevesindeki </w:t>
      </w:r>
      <w:proofErr w:type="gramStart"/>
      <w:r>
        <w:rPr>
          <w:sz w:val="18"/>
          <w:szCs w:val="18"/>
        </w:rPr>
        <w:t>dahil</w:t>
      </w:r>
      <w:proofErr w:type="gramEnd"/>
      <w:r>
        <w:rPr>
          <w:sz w:val="18"/>
          <w:szCs w:val="18"/>
        </w:rPr>
        <w:t xml:space="preserve"> edilme işlemine konu edilir.</w:t>
      </w:r>
    </w:p>
    <w:p w:rsidR="000A177A" w:rsidRDefault="000A177A" w:rsidP="000A177A">
      <w:pPr>
        <w:spacing w:line="240" w:lineRule="exact"/>
        <w:ind w:firstLine="567"/>
        <w:jc w:val="both"/>
        <w:rPr>
          <w:sz w:val="18"/>
          <w:szCs w:val="18"/>
        </w:rPr>
      </w:pPr>
      <w:r>
        <w:rPr>
          <w:sz w:val="18"/>
          <w:szCs w:val="18"/>
        </w:rPr>
        <w:t xml:space="preserve">(6) Opsiyona konu varlık emtia veya emtiaya dayalı bir türev araç ise, </w:t>
      </w:r>
      <w:proofErr w:type="gramStart"/>
      <w:r>
        <w:rPr>
          <w:sz w:val="18"/>
          <w:szCs w:val="18"/>
        </w:rPr>
        <w:t>opsiyonun</w:t>
      </w:r>
      <w:proofErr w:type="gramEnd"/>
      <w:r>
        <w:rPr>
          <w:sz w:val="18"/>
          <w:szCs w:val="18"/>
        </w:rPr>
        <w:t xml:space="preserve"> delta eşdeğeri de opsiyona konu olan emtia cinsinden bir pozisyonu ifade eder.</w:t>
      </w:r>
    </w:p>
    <w:p w:rsidR="000A177A" w:rsidRDefault="000A177A" w:rsidP="000A177A">
      <w:pPr>
        <w:spacing w:line="240" w:lineRule="exact"/>
        <w:ind w:firstLine="567"/>
        <w:jc w:val="both"/>
        <w:rPr>
          <w:sz w:val="18"/>
          <w:szCs w:val="18"/>
        </w:rPr>
      </w:pPr>
      <w:r>
        <w:rPr>
          <w:sz w:val="18"/>
          <w:szCs w:val="18"/>
        </w:rPr>
        <w:t xml:space="preserve">(7) Yabancı para ve altına dayalı </w:t>
      </w:r>
      <w:proofErr w:type="gramStart"/>
      <w:r>
        <w:rPr>
          <w:sz w:val="18"/>
          <w:szCs w:val="18"/>
        </w:rPr>
        <w:t>opsiyonların</w:t>
      </w:r>
      <w:proofErr w:type="gramEnd"/>
      <w:r>
        <w:rPr>
          <w:sz w:val="18"/>
          <w:szCs w:val="18"/>
        </w:rPr>
        <w:t xml:space="preserve"> her bir para birimi ve altın üzerinden net delta eşdeğeri, ilgili döviz veya altına dayalı bir pozisyon teşkil eder.</w:t>
      </w:r>
    </w:p>
    <w:p w:rsidR="000A177A" w:rsidRDefault="000A177A" w:rsidP="000A177A">
      <w:pPr>
        <w:spacing w:line="240" w:lineRule="exact"/>
        <w:ind w:firstLine="567"/>
        <w:jc w:val="both"/>
        <w:rPr>
          <w:sz w:val="18"/>
          <w:szCs w:val="18"/>
        </w:rPr>
      </w:pPr>
      <w:r>
        <w:rPr>
          <w:sz w:val="18"/>
          <w:szCs w:val="18"/>
        </w:rPr>
        <w:t xml:space="preserve">(8) Kurum, vadesine az kalmış </w:t>
      </w:r>
      <w:proofErr w:type="spellStart"/>
      <w:r>
        <w:rPr>
          <w:sz w:val="18"/>
          <w:szCs w:val="18"/>
        </w:rPr>
        <w:t>başabaş</w:t>
      </w:r>
      <w:proofErr w:type="spellEnd"/>
      <w:r>
        <w:rPr>
          <w:sz w:val="18"/>
          <w:szCs w:val="18"/>
        </w:rPr>
        <w:t xml:space="preserve"> </w:t>
      </w:r>
      <w:proofErr w:type="gramStart"/>
      <w:r>
        <w:rPr>
          <w:sz w:val="18"/>
          <w:szCs w:val="18"/>
        </w:rPr>
        <w:t>opsiyonları</w:t>
      </w:r>
      <w:proofErr w:type="gramEnd"/>
      <w:r>
        <w:rPr>
          <w:sz w:val="18"/>
          <w:szCs w:val="18"/>
        </w:rPr>
        <w:t xml:space="preserve"> kullanan bankalardan iç kontrol, iç denetim ve risk yönetim sistemlerinin yeterliliklerini dikkate almak suretiyle, senaryo metodunun veya içsel modellerin kullanılmasını isteyebilir. Kurum bu yetkisini aynı esaslar çerçevesinde, vadesine kalan süreye bağlı olmaksızın </w:t>
      </w:r>
      <w:proofErr w:type="gramStart"/>
      <w:r>
        <w:rPr>
          <w:sz w:val="18"/>
          <w:szCs w:val="18"/>
        </w:rPr>
        <w:t>opsiyon</w:t>
      </w:r>
      <w:proofErr w:type="gramEnd"/>
      <w:r>
        <w:rPr>
          <w:sz w:val="18"/>
          <w:szCs w:val="18"/>
        </w:rPr>
        <w:t xml:space="preserve"> türleri bazında da kullanabilir.</w:t>
      </w:r>
    </w:p>
    <w:p w:rsidR="000A177A" w:rsidRDefault="000A177A" w:rsidP="000A177A">
      <w:pPr>
        <w:pStyle w:val="Balk2"/>
        <w:spacing w:line="240" w:lineRule="exact"/>
        <w:ind w:firstLine="567"/>
        <w:rPr>
          <w:iCs/>
          <w:sz w:val="18"/>
          <w:szCs w:val="18"/>
        </w:rPr>
      </w:pPr>
      <w:bookmarkStart w:id="2" w:name="_Toc520019265"/>
      <w:r>
        <w:rPr>
          <w:iCs/>
          <w:sz w:val="18"/>
          <w:szCs w:val="18"/>
        </w:rPr>
        <w:lastRenderedPageBreak/>
        <w:t xml:space="preserve">Gama ve </w:t>
      </w:r>
      <w:proofErr w:type="spellStart"/>
      <w:r>
        <w:rPr>
          <w:iCs/>
          <w:sz w:val="18"/>
          <w:szCs w:val="18"/>
        </w:rPr>
        <w:t>vega</w:t>
      </w:r>
      <w:proofErr w:type="spellEnd"/>
      <w:r>
        <w:rPr>
          <w:iCs/>
          <w:sz w:val="18"/>
          <w:szCs w:val="18"/>
        </w:rPr>
        <w:t xml:space="preserve"> riskleri için sermaye yükümlülüğü hesaplanması</w:t>
      </w:r>
      <w:bookmarkEnd w:id="2"/>
    </w:p>
    <w:p w:rsidR="000A177A" w:rsidRDefault="000A177A" w:rsidP="000A177A">
      <w:pPr>
        <w:spacing w:line="240" w:lineRule="exact"/>
        <w:ind w:firstLine="567"/>
        <w:jc w:val="both"/>
        <w:rPr>
          <w:sz w:val="18"/>
          <w:szCs w:val="18"/>
        </w:rPr>
      </w:pPr>
      <w:r>
        <w:rPr>
          <w:b/>
          <w:sz w:val="18"/>
          <w:szCs w:val="18"/>
        </w:rPr>
        <w:t xml:space="preserve">MADDE 8- </w:t>
      </w:r>
      <w:r>
        <w:rPr>
          <w:bCs/>
          <w:sz w:val="18"/>
          <w:szCs w:val="18"/>
        </w:rPr>
        <w:t>(1)</w:t>
      </w:r>
      <w:r>
        <w:rPr>
          <w:b/>
          <w:bCs/>
          <w:sz w:val="18"/>
          <w:szCs w:val="18"/>
        </w:rPr>
        <w:t xml:space="preserve"> </w:t>
      </w:r>
      <w:r>
        <w:rPr>
          <w:bCs/>
          <w:sz w:val="18"/>
          <w:szCs w:val="18"/>
        </w:rPr>
        <w:t>Gama riski için</w:t>
      </w:r>
      <w:r>
        <w:rPr>
          <w:b/>
          <w:bCs/>
          <w:sz w:val="18"/>
          <w:szCs w:val="18"/>
        </w:rPr>
        <w:t xml:space="preserve"> </w:t>
      </w:r>
      <w:r>
        <w:rPr>
          <w:sz w:val="18"/>
          <w:szCs w:val="18"/>
        </w:rPr>
        <w:t xml:space="preserve">sermaye yükümlülüğü, net negatif gama etkilerinin mutlak değerleri toplamına eşittir. Aynı varlığa dayalı her bir </w:t>
      </w:r>
      <w:proofErr w:type="gramStart"/>
      <w:r>
        <w:rPr>
          <w:sz w:val="18"/>
          <w:szCs w:val="18"/>
        </w:rPr>
        <w:t>opsiyon</w:t>
      </w:r>
      <w:proofErr w:type="gramEnd"/>
      <w:r>
        <w:rPr>
          <w:sz w:val="18"/>
          <w:szCs w:val="18"/>
        </w:rPr>
        <w:t xml:space="preserve"> pozitif veya negatif bir gama etkisine sahiptir. Her bir finansal araç için, münferit gama etkileri toplanarak, pozitif veya negatif olan net gama etkisi bulunur. Bunlardan sadece negatif olan net gama etkileri sermaye hesaplamasına </w:t>
      </w:r>
      <w:proofErr w:type="gramStart"/>
      <w:r>
        <w:rPr>
          <w:sz w:val="18"/>
          <w:szCs w:val="18"/>
        </w:rPr>
        <w:t>dahil</w:t>
      </w:r>
      <w:proofErr w:type="gramEnd"/>
      <w:r>
        <w:rPr>
          <w:sz w:val="18"/>
          <w:szCs w:val="18"/>
        </w:rPr>
        <w:t xml:space="preserve"> edilir.</w:t>
      </w:r>
    </w:p>
    <w:p w:rsidR="000A177A" w:rsidRDefault="000A177A" w:rsidP="000A177A">
      <w:pPr>
        <w:spacing w:line="240" w:lineRule="exact"/>
        <w:ind w:firstLine="567"/>
        <w:jc w:val="both"/>
        <w:rPr>
          <w:sz w:val="18"/>
          <w:szCs w:val="18"/>
        </w:rPr>
      </w:pPr>
      <w:r>
        <w:rPr>
          <w:sz w:val="18"/>
          <w:szCs w:val="18"/>
        </w:rPr>
        <w:t xml:space="preserve">(2) Her bir münferit </w:t>
      </w:r>
      <w:proofErr w:type="gramStart"/>
      <w:r>
        <w:rPr>
          <w:sz w:val="18"/>
          <w:szCs w:val="18"/>
        </w:rPr>
        <w:t>opsiyon</w:t>
      </w:r>
      <w:proofErr w:type="gramEnd"/>
      <w:r>
        <w:rPr>
          <w:sz w:val="18"/>
          <w:szCs w:val="18"/>
        </w:rPr>
        <w:t xml:space="preserve"> için gama etkisi;</w:t>
      </w:r>
    </w:p>
    <w:p w:rsidR="000A177A" w:rsidRDefault="000A177A" w:rsidP="000A177A">
      <w:pPr>
        <w:spacing w:line="240" w:lineRule="exact"/>
        <w:ind w:firstLine="567"/>
        <w:jc w:val="both"/>
        <w:rPr>
          <w:sz w:val="18"/>
          <w:szCs w:val="18"/>
        </w:rPr>
      </w:pPr>
      <w:r>
        <w:rPr>
          <w:sz w:val="18"/>
          <w:szCs w:val="18"/>
        </w:rPr>
        <w:t>a) GE: Gama Etkisini</w:t>
      </w:r>
    </w:p>
    <w:p w:rsidR="000A177A" w:rsidRDefault="000A177A" w:rsidP="000A177A">
      <w:pPr>
        <w:spacing w:line="240" w:lineRule="exact"/>
        <w:ind w:firstLine="567"/>
        <w:jc w:val="both"/>
        <w:rPr>
          <w:sz w:val="18"/>
          <w:szCs w:val="18"/>
        </w:rPr>
      </w:pPr>
      <w:r>
        <w:rPr>
          <w:sz w:val="18"/>
          <w:szCs w:val="18"/>
        </w:rPr>
        <w:t>b) FD: Fiyat Değişimini (</w:t>
      </w:r>
      <w:r>
        <w:rPr>
          <w:bCs/>
          <w:sz w:val="18"/>
          <w:szCs w:val="18"/>
        </w:rPr>
        <w:t>Opsiyon sözleşmesine konu varlığın fiyatındaki değişim)</w:t>
      </w:r>
    </w:p>
    <w:p w:rsidR="000A177A" w:rsidRDefault="000A177A" w:rsidP="000A177A">
      <w:pPr>
        <w:spacing w:line="240" w:lineRule="exact"/>
        <w:ind w:firstLine="567"/>
        <w:jc w:val="both"/>
        <w:rPr>
          <w:sz w:val="18"/>
          <w:szCs w:val="18"/>
        </w:rPr>
      </w:pPr>
      <w:proofErr w:type="gramStart"/>
      <w:r>
        <w:rPr>
          <w:sz w:val="18"/>
          <w:szCs w:val="18"/>
        </w:rPr>
        <w:t>ifade</w:t>
      </w:r>
      <w:proofErr w:type="gramEnd"/>
      <w:r>
        <w:rPr>
          <w:sz w:val="18"/>
          <w:szCs w:val="18"/>
        </w:rPr>
        <w:t xml:space="preserve"> etmek üzere aşağıdaki formül ile bulunur:</w:t>
      </w:r>
    </w:p>
    <w:p w:rsidR="000A177A" w:rsidRDefault="000A177A" w:rsidP="000A177A">
      <w:pPr>
        <w:pStyle w:val="Balk4"/>
        <w:spacing w:line="240" w:lineRule="exact"/>
        <w:ind w:firstLine="567"/>
        <w:jc w:val="both"/>
        <w:rPr>
          <w:sz w:val="18"/>
          <w:szCs w:val="18"/>
          <w:vertAlign w:val="superscript"/>
        </w:rPr>
      </w:pPr>
      <w:r>
        <w:rPr>
          <w:bCs w:val="0"/>
          <w:sz w:val="18"/>
          <w:szCs w:val="18"/>
        </w:rPr>
        <w:t>Gama Etkisi = 1/2 x Gama x (FD)</w:t>
      </w:r>
      <w:r>
        <w:rPr>
          <w:bCs w:val="0"/>
          <w:sz w:val="18"/>
          <w:szCs w:val="18"/>
          <w:vertAlign w:val="superscript"/>
        </w:rPr>
        <w:t>2</w:t>
      </w:r>
    </w:p>
    <w:p w:rsidR="000A177A" w:rsidRDefault="000A177A" w:rsidP="000A177A">
      <w:pPr>
        <w:pStyle w:val="GvdeMetniGirintisi"/>
        <w:spacing w:after="0" w:line="240" w:lineRule="exact"/>
        <w:ind w:left="0" w:firstLine="567"/>
        <w:jc w:val="both"/>
        <w:rPr>
          <w:sz w:val="18"/>
          <w:szCs w:val="18"/>
        </w:rPr>
      </w:pPr>
      <w:r>
        <w:rPr>
          <w:sz w:val="18"/>
          <w:szCs w:val="18"/>
        </w:rPr>
        <w:t>(3) İkinci fıkraya konu fiyat değişimi aşağıdaki şekilde hesaplanır.</w:t>
      </w:r>
    </w:p>
    <w:p w:rsidR="000A177A" w:rsidRDefault="000A177A" w:rsidP="000A177A">
      <w:pPr>
        <w:spacing w:line="240" w:lineRule="exact"/>
        <w:ind w:firstLine="567"/>
        <w:jc w:val="both"/>
        <w:rPr>
          <w:sz w:val="18"/>
          <w:szCs w:val="18"/>
        </w:rPr>
      </w:pPr>
      <w:r>
        <w:rPr>
          <w:sz w:val="18"/>
          <w:szCs w:val="18"/>
        </w:rPr>
        <w:t xml:space="preserve">a) Faiz oranı </w:t>
      </w:r>
      <w:proofErr w:type="gramStart"/>
      <w:r>
        <w:rPr>
          <w:sz w:val="18"/>
          <w:szCs w:val="18"/>
        </w:rPr>
        <w:t>opsiyonları</w:t>
      </w:r>
      <w:proofErr w:type="gramEnd"/>
      <w:r>
        <w:rPr>
          <w:sz w:val="18"/>
          <w:szCs w:val="18"/>
        </w:rPr>
        <w:t xml:space="preserve"> için, sözleşmeye konu araç eğer bir tahvil/bono ise, sözleşmeye konu aracın piyasa değeri, Yönetmeliğin 11 inci maddesinde yer alan vade merdiveni tablosunda 7 </w:t>
      </w:r>
      <w:proofErr w:type="spellStart"/>
      <w:r>
        <w:rPr>
          <w:sz w:val="18"/>
          <w:szCs w:val="18"/>
        </w:rPr>
        <w:t>nci</w:t>
      </w:r>
      <w:proofErr w:type="spellEnd"/>
      <w:r>
        <w:rPr>
          <w:sz w:val="18"/>
          <w:szCs w:val="18"/>
        </w:rPr>
        <w:t xml:space="preserve"> maddenin ikinci fıkrasına uygun olarak tespit edilecek vadeye karşılık gelen vade dilimine ait risk ağırlıkları ile çarpılır. Sözleşmeye konu </w:t>
      </w:r>
      <w:proofErr w:type="gramStart"/>
      <w:r>
        <w:rPr>
          <w:sz w:val="18"/>
          <w:szCs w:val="18"/>
        </w:rPr>
        <w:t>varlık,tahvil</w:t>
      </w:r>
      <w:proofErr w:type="gramEnd"/>
      <w:r>
        <w:rPr>
          <w:sz w:val="18"/>
          <w:szCs w:val="18"/>
        </w:rPr>
        <w:t>/bono dışında getirisi faiz oranı ile ilişkilendirilmiş bir araç ise, eşdeğer bir hesaplama yine Yönetmeliğin 11 inci maddesinde yer alan vade merdiveni tablosundaki varsayılan getiri değişimleri dikkate alınarak yapılır.</w:t>
      </w:r>
    </w:p>
    <w:p w:rsidR="000A177A" w:rsidRDefault="000A177A" w:rsidP="000A177A">
      <w:pPr>
        <w:spacing w:line="240" w:lineRule="exact"/>
        <w:ind w:firstLine="567"/>
        <w:jc w:val="both"/>
        <w:rPr>
          <w:sz w:val="18"/>
          <w:szCs w:val="18"/>
        </w:rPr>
      </w:pPr>
      <w:r>
        <w:rPr>
          <w:sz w:val="18"/>
          <w:szCs w:val="18"/>
        </w:rPr>
        <w:t xml:space="preserve">b) Hisse senedi ve hisse senedi endeks </w:t>
      </w:r>
      <w:proofErr w:type="gramStart"/>
      <w:r>
        <w:rPr>
          <w:sz w:val="18"/>
          <w:szCs w:val="18"/>
        </w:rPr>
        <w:t>opsiyonları</w:t>
      </w:r>
      <w:proofErr w:type="gramEnd"/>
      <w:r>
        <w:rPr>
          <w:sz w:val="18"/>
          <w:szCs w:val="18"/>
        </w:rPr>
        <w:t xml:space="preserve"> için, sözleşmeye konu varlığın piyasa değeri yüzde sekiz ile çarpılır.</w:t>
      </w:r>
    </w:p>
    <w:p w:rsidR="000A177A" w:rsidRDefault="000A177A" w:rsidP="000A177A">
      <w:pPr>
        <w:spacing w:line="240" w:lineRule="exact"/>
        <w:ind w:firstLine="567"/>
        <w:jc w:val="both"/>
        <w:rPr>
          <w:sz w:val="18"/>
          <w:szCs w:val="18"/>
        </w:rPr>
      </w:pPr>
      <w:r>
        <w:rPr>
          <w:sz w:val="18"/>
          <w:szCs w:val="18"/>
        </w:rPr>
        <w:t xml:space="preserve">c) Yabancı para ve altın </w:t>
      </w:r>
      <w:proofErr w:type="gramStart"/>
      <w:r>
        <w:rPr>
          <w:sz w:val="18"/>
          <w:szCs w:val="18"/>
        </w:rPr>
        <w:t>opsiyonları</w:t>
      </w:r>
      <w:proofErr w:type="gramEnd"/>
      <w:r>
        <w:rPr>
          <w:sz w:val="18"/>
          <w:szCs w:val="18"/>
        </w:rPr>
        <w:t xml:space="preserve"> için, sözleşmeye konu varlığın piyasa değeri yüzde sekiz ile çarpılır,</w:t>
      </w:r>
    </w:p>
    <w:p w:rsidR="000A177A" w:rsidRDefault="000A177A" w:rsidP="000A177A">
      <w:pPr>
        <w:tabs>
          <w:tab w:val="left" w:pos="1080"/>
        </w:tabs>
        <w:spacing w:line="240" w:lineRule="exact"/>
        <w:ind w:firstLine="567"/>
        <w:jc w:val="both"/>
        <w:rPr>
          <w:sz w:val="18"/>
          <w:szCs w:val="18"/>
        </w:rPr>
      </w:pPr>
      <w:r>
        <w:rPr>
          <w:sz w:val="18"/>
          <w:szCs w:val="18"/>
        </w:rPr>
        <w:t xml:space="preserve">ç) Emtiaya dayalı </w:t>
      </w:r>
      <w:proofErr w:type="gramStart"/>
      <w:r>
        <w:rPr>
          <w:sz w:val="18"/>
          <w:szCs w:val="18"/>
        </w:rPr>
        <w:t>opsiyonlar</w:t>
      </w:r>
      <w:proofErr w:type="gramEnd"/>
      <w:r>
        <w:rPr>
          <w:sz w:val="18"/>
          <w:szCs w:val="18"/>
        </w:rPr>
        <w:t xml:space="preserve"> için, sözleşmeye konu emtianın piyasa değeri yüzde </w:t>
      </w:r>
      <w:proofErr w:type="spellStart"/>
      <w:r>
        <w:rPr>
          <w:sz w:val="18"/>
          <w:szCs w:val="18"/>
        </w:rPr>
        <w:t>onbeş</w:t>
      </w:r>
      <w:proofErr w:type="spellEnd"/>
      <w:r>
        <w:rPr>
          <w:sz w:val="18"/>
          <w:szCs w:val="18"/>
        </w:rPr>
        <w:t xml:space="preserve"> ile çarpılır.</w:t>
      </w:r>
    </w:p>
    <w:p w:rsidR="000A177A" w:rsidRDefault="000A177A" w:rsidP="000A177A">
      <w:pPr>
        <w:spacing w:line="240" w:lineRule="exact"/>
        <w:ind w:firstLine="567"/>
        <w:jc w:val="both"/>
        <w:rPr>
          <w:sz w:val="18"/>
          <w:szCs w:val="18"/>
        </w:rPr>
      </w:pPr>
      <w:r>
        <w:rPr>
          <w:sz w:val="18"/>
          <w:szCs w:val="18"/>
        </w:rPr>
        <w:t>(4) Birinci fıkra çerçevesinde yapılacak hesaplamalarda aşağıda belirtilen kalemlere ilişkin pozisyonlar, birbiriyle aynı sözleşmeye konu varlık olarak değerlendirilir:</w:t>
      </w:r>
    </w:p>
    <w:p w:rsidR="000A177A" w:rsidRDefault="000A177A" w:rsidP="000A177A">
      <w:pPr>
        <w:spacing w:line="240" w:lineRule="exact"/>
        <w:ind w:firstLine="567"/>
        <w:jc w:val="both"/>
        <w:rPr>
          <w:sz w:val="18"/>
          <w:szCs w:val="18"/>
        </w:rPr>
      </w:pPr>
      <w:r>
        <w:rPr>
          <w:sz w:val="18"/>
          <w:szCs w:val="18"/>
        </w:rPr>
        <w:t>a) Faiz oranları için, Yönetmeliğin 11 inci maddesindeki vade merdiveni tablosunda belirtilen her bir vade dilimi.</w:t>
      </w:r>
    </w:p>
    <w:p w:rsidR="000A177A" w:rsidRDefault="000A177A" w:rsidP="000A177A">
      <w:pPr>
        <w:spacing w:line="240" w:lineRule="exact"/>
        <w:ind w:firstLine="567"/>
        <w:jc w:val="both"/>
        <w:rPr>
          <w:sz w:val="18"/>
          <w:szCs w:val="18"/>
        </w:rPr>
      </w:pPr>
      <w:r>
        <w:rPr>
          <w:sz w:val="18"/>
          <w:szCs w:val="18"/>
        </w:rPr>
        <w:t>b) Hisse senedi ve hisse senedi endeksleri için, her bir ülke piyasası.</w:t>
      </w:r>
    </w:p>
    <w:p w:rsidR="000A177A" w:rsidRDefault="000A177A" w:rsidP="000A177A">
      <w:pPr>
        <w:spacing w:line="240" w:lineRule="exact"/>
        <w:ind w:firstLine="567"/>
        <w:jc w:val="both"/>
        <w:rPr>
          <w:sz w:val="18"/>
          <w:szCs w:val="18"/>
        </w:rPr>
      </w:pPr>
      <w:r>
        <w:rPr>
          <w:sz w:val="18"/>
          <w:szCs w:val="18"/>
        </w:rPr>
        <w:t>c) Yabancı para ve altın için, her bir yabancı para çifti ve altın.</w:t>
      </w:r>
    </w:p>
    <w:p w:rsidR="000A177A" w:rsidRDefault="000A177A" w:rsidP="000A177A">
      <w:pPr>
        <w:spacing w:line="240" w:lineRule="exact"/>
        <w:ind w:firstLine="567"/>
        <w:jc w:val="both"/>
        <w:rPr>
          <w:sz w:val="18"/>
          <w:szCs w:val="18"/>
        </w:rPr>
      </w:pPr>
      <w:r>
        <w:rPr>
          <w:sz w:val="18"/>
          <w:szCs w:val="18"/>
        </w:rPr>
        <w:t>ç) Emtia için, her bir emtia cinsi.</w:t>
      </w:r>
    </w:p>
    <w:p w:rsidR="000A177A" w:rsidRDefault="000A177A" w:rsidP="000A177A">
      <w:pPr>
        <w:spacing w:line="240" w:lineRule="exact"/>
        <w:ind w:firstLine="567"/>
        <w:jc w:val="both"/>
        <w:rPr>
          <w:sz w:val="18"/>
          <w:szCs w:val="18"/>
        </w:rPr>
      </w:pPr>
      <w:r>
        <w:rPr>
          <w:sz w:val="18"/>
          <w:szCs w:val="18"/>
        </w:rPr>
        <w:t xml:space="preserve">(5) </w:t>
      </w:r>
      <w:proofErr w:type="spellStart"/>
      <w:r>
        <w:rPr>
          <w:sz w:val="18"/>
          <w:szCs w:val="18"/>
        </w:rPr>
        <w:t>Vega</w:t>
      </w:r>
      <w:proofErr w:type="spellEnd"/>
      <w:r>
        <w:rPr>
          <w:sz w:val="18"/>
          <w:szCs w:val="18"/>
        </w:rPr>
        <w:t xml:space="preserve"> riski için sermaye yükümlülüğü, aynı varlığa dayalı </w:t>
      </w:r>
      <w:proofErr w:type="gramStart"/>
      <w:r>
        <w:rPr>
          <w:sz w:val="18"/>
          <w:szCs w:val="18"/>
        </w:rPr>
        <w:t>opsiyonların</w:t>
      </w:r>
      <w:proofErr w:type="gramEnd"/>
      <w:r>
        <w:rPr>
          <w:sz w:val="18"/>
          <w:szCs w:val="18"/>
        </w:rPr>
        <w:t xml:space="preserve"> münferit sermaye yükümlülüklerinin mutlak değerleri toplanmak suretiyle bulunur. Aynı varlığa dayalı </w:t>
      </w:r>
      <w:proofErr w:type="gramStart"/>
      <w:r>
        <w:rPr>
          <w:sz w:val="18"/>
          <w:szCs w:val="18"/>
        </w:rPr>
        <w:t>opsiyonların</w:t>
      </w:r>
      <w:proofErr w:type="gramEnd"/>
      <w:r>
        <w:rPr>
          <w:sz w:val="18"/>
          <w:szCs w:val="18"/>
        </w:rPr>
        <w:t xml:space="preserve"> münferit sermaye </w:t>
      </w:r>
      <w:proofErr w:type="spellStart"/>
      <w:r>
        <w:rPr>
          <w:sz w:val="18"/>
          <w:szCs w:val="18"/>
        </w:rPr>
        <w:t>yükümlülüleri</w:t>
      </w:r>
      <w:proofErr w:type="spellEnd"/>
      <w:r>
        <w:rPr>
          <w:sz w:val="18"/>
          <w:szCs w:val="18"/>
        </w:rPr>
        <w:t xml:space="preserve">, aynı varlığa dayalı opsiyonlara ait </w:t>
      </w:r>
      <w:proofErr w:type="spellStart"/>
      <w:r>
        <w:rPr>
          <w:sz w:val="18"/>
          <w:szCs w:val="18"/>
        </w:rPr>
        <w:t>vegaların</w:t>
      </w:r>
      <w:proofErr w:type="spellEnd"/>
      <w:r>
        <w:rPr>
          <w:sz w:val="18"/>
          <w:szCs w:val="18"/>
        </w:rPr>
        <w:t xml:space="preserve"> toplamının volatilitenin ± yüzde </w:t>
      </w:r>
      <w:proofErr w:type="spellStart"/>
      <w:r>
        <w:rPr>
          <w:sz w:val="18"/>
          <w:szCs w:val="18"/>
        </w:rPr>
        <w:t>yirmibeş</w:t>
      </w:r>
      <w:proofErr w:type="spellEnd"/>
      <w:r>
        <w:rPr>
          <w:sz w:val="18"/>
          <w:szCs w:val="18"/>
        </w:rPr>
        <w:t xml:space="preserve"> oranında </w:t>
      </w:r>
      <w:proofErr w:type="spellStart"/>
      <w:r>
        <w:rPr>
          <w:sz w:val="18"/>
          <w:szCs w:val="18"/>
        </w:rPr>
        <w:t>nisbi</w:t>
      </w:r>
      <w:proofErr w:type="spellEnd"/>
      <w:r>
        <w:rPr>
          <w:sz w:val="18"/>
          <w:szCs w:val="18"/>
        </w:rPr>
        <w:t xml:space="preserve"> kayması ile çarpılması yoluyla hesaplanır.</w:t>
      </w:r>
    </w:p>
    <w:p w:rsidR="000A177A" w:rsidRDefault="000A177A" w:rsidP="000A177A">
      <w:pPr>
        <w:pStyle w:val="Balk2"/>
        <w:spacing w:line="240" w:lineRule="exact"/>
        <w:ind w:firstLine="567"/>
        <w:rPr>
          <w:iCs/>
          <w:sz w:val="18"/>
          <w:szCs w:val="18"/>
        </w:rPr>
      </w:pPr>
      <w:r>
        <w:rPr>
          <w:iCs/>
          <w:sz w:val="18"/>
          <w:szCs w:val="18"/>
        </w:rPr>
        <w:t xml:space="preserve">Delta, gama ve </w:t>
      </w:r>
      <w:proofErr w:type="spellStart"/>
      <w:r>
        <w:rPr>
          <w:iCs/>
          <w:sz w:val="18"/>
          <w:szCs w:val="18"/>
        </w:rPr>
        <w:t>vega</w:t>
      </w:r>
      <w:proofErr w:type="spellEnd"/>
      <w:r>
        <w:rPr>
          <w:iCs/>
          <w:sz w:val="18"/>
          <w:szCs w:val="18"/>
        </w:rPr>
        <w:t xml:space="preserve"> değerleri</w:t>
      </w:r>
    </w:p>
    <w:p w:rsidR="000A177A" w:rsidRDefault="000A177A" w:rsidP="000A177A">
      <w:pPr>
        <w:spacing w:line="240" w:lineRule="exact"/>
        <w:ind w:firstLine="567"/>
        <w:jc w:val="both"/>
        <w:rPr>
          <w:sz w:val="18"/>
          <w:szCs w:val="18"/>
        </w:rPr>
      </w:pPr>
      <w:r>
        <w:rPr>
          <w:b/>
          <w:sz w:val="18"/>
          <w:szCs w:val="18"/>
        </w:rPr>
        <w:t xml:space="preserve">MADDE 9- </w:t>
      </w:r>
      <w:r>
        <w:rPr>
          <w:sz w:val="18"/>
          <w:szCs w:val="18"/>
        </w:rPr>
        <w:t xml:space="preserve">(1) </w:t>
      </w:r>
      <w:r>
        <w:rPr>
          <w:bCs/>
          <w:sz w:val="18"/>
          <w:szCs w:val="18"/>
        </w:rPr>
        <w:t xml:space="preserve">7 ve 8 inci maddeler uyarınca yapılacak hesaplamalarda kullanılacak delta, gama ve </w:t>
      </w:r>
      <w:proofErr w:type="spellStart"/>
      <w:r>
        <w:rPr>
          <w:bCs/>
          <w:sz w:val="18"/>
          <w:szCs w:val="18"/>
        </w:rPr>
        <w:t>vega</w:t>
      </w:r>
      <w:proofErr w:type="spellEnd"/>
      <w:r>
        <w:rPr>
          <w:bCs/>
          <w:sz w:val="18"/>
          <w:szCs w:val="18"/>
        </w:rPr>
        <w:t xml:space="preserve"> değerleri,</w:t>
      </w:r>
      <w:r>
        <w:rPr>
          <w:sz w:val="18"/>
          <w:szCs w:val="18"/>
        </w:rPr>
        <w:t xml:space="preserve"> TMS kapsamında kabul edilen </w:t>
      </w:r>
      <w:proofErr w:type="gramStart"/>
      <w:r>
        <w:rPr>
          <w:sz w:val="18"/>
          <w:szCs w:val="18"/>
        </w:rPr>
        <w:t>opsiyon</w:t>
      </w:r>
      <w:proofErr w:type="gramEnd"/>
      <w:r>
        <w:rPr>
          <w:sz w:val="18"/>
          <w:szCs w:val="18"/>
        </w:rPr>
        <w:t xml:space="preserve"> fiyatlama modeli esas alınarak bulunur. Kullanılan model Kuruma bildirilir. Modelin değişmesi halinde ise Kuruma bilgi verilir</w:t>
      </w:r>
      <w:proofErr w:type="gramStart"/>
      <w:r>
        <w:rPr>
          <w:sz w:val="18"/>
          <w:szCs w:val="18"/>
        </w:rPr>
        <w:t>..</w:t>
      </w:r>
      <w:proofErr w:type="gramEnd"/>
    </w:p>
    <w:p w:rsidR="000A177A" w:rsidRDefault="000A177A" w:rsidP="000A177A">
      <w:pPr>
        <w:pStyle w:val="Balk2"/>
        <w:spacing w:line="240" w:lineRule="exact"/>
        <w:ind w:firstLine="567"/>
        <w:rPr>
          <w:iCs/>
          <w:sz w:val="18"/>
          <w:szCs w:val="18"/>
        </w:rPr>
      </w:pPr>
      <w:r>
        <w:rPr>
          <w:iCs/>
          <w:sz w:val="18"/>
          <w:szCs w:val="18"/>
        </w:rPr>
        <w:t>Senaryo Metodu</w:t>
      </w:r>
    </w:p>
    <w:p w:rsidR="000A177A" w:rsidRDefault="000A177A" w:rsidP="000A177A">
      <w:pPr>
        <w:pStyle w:val="GvdeMetni"/>
        <w:spacing w:line="240" w:lineRule="exact"/>
        <w:ind w:firstLine="567"/>
        <w:rPr>
          <w:sz w:val="18"/>
          <w:szCs w:val="18"/>
        </w:rPr>
      </w:pPr>
      <w:r>
        <w:rPr>
          <w:rFonts w:ascii="Times New Roman" w:hAnsi="Times New Roman"/>
          <w:b/>
          <w:sz w:val="18"/>
          <w:szCs w:val="18"/>
        </w:rPr>
        <w:t xml:space="preserve">MADDE 10- </w:t>
      </w:r>
      <w:r>
        <w:rPr>
          <w:rFonts w:ascii="Times New Roman" w:hAnsi="Times New Roman"/>
          <w:sz w:val="18"/>
          <w:szCs w:val="18"/>
        </w:rPr>
        <w:t xml:space="preserve">(1) </w:t>
      </w:r>
      <w:r>
        <w:rPr>
          <w:rFonts w:ascii="Times New Roman" w:hAnsi="Times New Roman"/>
          <w:bCs/>
          <w:sz w:val="18"/>
          <w:szCs w:val="18"/>
        </w:rPr>
        <w:t xml:space="preserve">Gelişmiş </w:t>
      </w:r>
      <w:proofErr w:type="gramStart"/>
      <w:r>
        <w:rPr>
          <w:rFonts w:ascii="Times New Roman" w:hAnsi="Times New Roman"/>
          <w:bCs/>
          <w:sz w:val="18"/>
          <w:szCs w:val="18"/>
        </w:rPr>
        <w:t>opsiyon</w:t>
      </w:r>
      <w:proofErr w:type="gramEnd"/>
      <w:r>
        <w:rPr>
          <w:rFonts w:ascii="Times New Roman" w:hAnsi="Times New Roman"/>
          <w:bCs/>
          <w:sz w:val="18"/>
          <w:szCs w:val="18"/>
        </w:rPr>
        <w:t xml:space="preserve"> teknikleri kullanan ve/veya karmaşık opsiyon portföylerine sahip bankalar</w:t>
      </w:r>
      <w:r>
        <w:rPr>
          <w:rFonts w:ascii="Times New Roman" w:hAnsi="Times New Roman"/>
          <w:sz w:val="18"/>
          <w:szCs w:val="18"/>
        </w:rPr>
        <w:t xml:space="preserve">, opsiyonlar için piyasa riskleri karşılığında bulundurmaları gereken sermaye tutarını hesaplarken, senaryo metodu kapsamında senaryo matrisi analizini kullanabilirler. Bu metoda göre bankalar, sermaye yükümlülüğünü hesaplamak amacıyla, opsiyonun dayandığı sözleşmeye konu varlığın fiyatı/oranı ile bunların volatilitesi gibi risk faktörlerindeki eşanlı değişimler için matris kullanarak, </w:t>
      </w:r>
      <w:proofErr w:type="gramStart"/>
      <w:r>
        <w:rPr>
          <w:rFonts w:ascii="Times New Roman" w:hAnsi="Times New Roman"/>
          <w:sz w:val="18"/>
          <w:szCs w:val="18"/>
        </w:rPr>
        <w:t>opsiyon</w:t>
      </w:r>
      <w:proofErr w:type="gramEnd"/>
      <w:r>
        <w:rPr>
          <w:rFonts w:ascii="Times New Roman" w:hAnsi="Times New Roman"/>
          <w:sz w:val="18"/>
          <w:szCs w:val="18"/>
        </w:rPr>
        <w:t xml:space="preserve"> portföylerinin yeniden değerlemesini yaparlar. Bu işlem, </w:t>
      </w:r>
      <w:proofErr w:type="gramStart"/>
      <w:r>
        <w:rPr>
          <w:rFonts w:ascii="Times New Roman" w:hAnsi="Times New Roman"/>
          <w:sz w:val="18"/>
          <w:szCs w:val="18"/>
        </w:rPr>
        <w:t>opsiyon</w:t>
      </w:r>
      <w:proofErr w:type="gramEnd"/>
      <w:r>
        <w:rPr>
          <w:rFonts w:ascii="Times New Roman" w:hAnsi="Times New Roman"/>
          <w:sz w:val="18"/>
          <w:szCs w:val="18"/>
        </w:rPr>
        <w:t xml:space="preserve"> portföyündeki risk faktörlerine ilişkin sabit değişim aralıkları belirlenerek ve daha sonra matris üzerinde yer alan muhtelif noktalardaki portföy değeri değişimleri dikkate alınarak gerçekleştirilir.</w:t>
      </w:r>
    </w:p>
    <w:p w:rsidR="000A177A" w:rsidRDefault="000A177A" w:rsidP="000A177A">
      <w:pPr>
        <w:pStyle w:val="GvdeMetni"/>
        <w:spacing w:line="240" w:lineRule="exact"/>
        <w:ind w:firstLine="567"/>
        <w:rPr>
          <w:sz w:val="18"/>
          <w:szCs w:val="18"/>
        </w:rPr>
      </w:pPr>
      <w:r>
        <w:rPr>
          <w:rFonts w:ascii="Times New Roman" w:hAnsi="Times New Roman"/>
          <w:sz w:val="18"/>
          <w:szCs w:val="18"/>
        </w:rPr>
        <w:t xml:space="preserve">(2) Her bir münferit sözleşmeye konu araç için ayrı bir matris oluşturulur. Opsiyon alım-satımı yoğun olan bankalar, alternatif olarak, faiz oranı </w:t>
      </w:r>
      <w:proofErr w:type="gramStart"/>
      <w:r>
        <w:rPr>
          <w:rFonts w:ascii="Times New Roman" w:hAnsi="Times New Roman"/>
          <w:sz w:val="18"/>
          <w:szCs w:val="18"/>
        </w:rPr>
        <w:t>opsiyonları</w:t>
      </w:r>
      <w:proofErr w:type="gramEnd"/>
      <w:r>
        <w:rPr>
          <w:rFonts w:ascii="Times New Roman" w:hAnsi="Times New Roman"/>
          <w:sz w:val="18"/>
          <w:szCs w:val="18"/>
        </w:rPr>
        <w:t xml:space="preserve"> için yapacakları hesaplamalarında, asgari altı ayrı vade dilimini esas alırlar. Bu metodu uygularken Yönetmeliğin 11 inci maddesinde bulunan vade merdiveni tablosunda yer alan vade dilimlerinin en fazla üç tanesi aynı grup içine yerleştirilir.</w:t>
      </w:r>
    </w:p>
    <w:p w:rsidR="000A177A" w:rsidRDefault="000A177A" w:rsidP="000A177A">
      <w:pPr>
        <w:pStyle w:val="GvdeMetni"/>
        <w:spacing w:line="240" w:lineRule="exact"/>
        <w:ind w:firstLine="567"/>
        <w:rPr>
          <w:sz w:val="18"/>
          <w:szCs w:val="18"/>
        </w:rPr>
      </w:pPr>
      <w:r>
        <w:rPr>
          <w:rFonts w:ascii="Times New Roman" w:hAnsi="Times New Roman"/>
          <w:sz w:val="18"/>
          <w:szCs w:val="18"/>
        </w:rPr>
        <w:lastRenderedPageBreak/>
        <w:t xml:space="preserve">(3) Opsiyon pozisyonları sözleşmeye konu varlığın piyasa fiyatının altında ve üstünde belirli bir bant içinde olmak üzere değerlendirilir. Bu işlem, matris hazırlamanın ilk aşamasını oluşturur. Faiz oranı için bu bant, Yönetmeliğin 11 inci maddesinde bulunan vade merdiveni tablosunda varsayılan getiri değişimi ile tutarlı olmalıdır. Faiz oranı opsiyonları için yukarıdaki alternatif metodu kullanan bankalar, hesaplamada, aynı gruba </w:t>
      </w:r>
      <w:proofErr w:type="gramStart"/>
      <w:r>
        <w:rPr>
          <w:rFonts w:ascii="Times New Roman" w:hAnsi="Times New Roman"/>
          <w:sz w:val="18"/>
          <w:szCs w:val="18"/>
        </w:rPr>
        <w:t>dahil</w:t>
      </w:r>
      <w:proofErr w:type="gramEnd"/>
      <w:r>
        <w:rPr>
          <w:rFonts w:ascii="Times New Roman" w:hAnsi="Times New Roman"/>
          <w:sz w:val="18"/>
          <w:szCs w:val="18"/>
        </w:rPr>
        <w:t xml:space="preserve"> edilen her bir vade dilimine ait varsayılan getiri değişimlerinin en büyüğünü kullanırlar. Hisse senedi, yabancı paralar ve altın için değişim aralığı ± yüzde sekiz, emtia için ± yüzde </w:t>
      </w:r>
      <w:proofErr w:type="spellStart"/>
      <w:r>
        <w:rPr>
          <w:rFonts w:ascii="Times New Roman" w:hAnsi="Times New Roman"/>
          <w:sz w:val="18"/>
          <w:szCs w:val="18"/>
        </w:rPr>
        <w:t>onbeştir</w:t>
      </w:r>
      <w:proofErr w:type="spellEnd"/>
      <w:r>
        <w:rPr>
          <w:rFonts w:ascii="Times New Roman" w:hAnsi="Times New Roman"/>
          <w:sz w:val="18"/>
          <w:szCs w:val="18"/>
        </w:rPr>
        <w:t xml:space="preserve">. Bütün risk kategorileri için, cari gözlem </w:t>
      </w:r>
      <w:proofErr w:type="gramStart"/>
      <w:r>
        <w:rPr>
          <w:rFonts w:ascii="Times New Roman" w:hAnsi="Times New Roman"/>
          <w:sz w:val="18"/>
          <w:szCs w:val="18"/>
        </w:rPr>
        <w:t>dahil</w:t>
      </w:r>
      <w:proofErr w:type="gramEnd"/>
      <w:r>
        <w:rPr>
          <w:rFonts w:ascii="Times New Roman" w:hAnsi="Times New Roman"/>
          <w:sz w:val="18"/>
          <w:szCs w:val="18"/>
        </w:rPr>
        <w:t xml:space="preserve"> olmak üzere en az yedi eşit gözlem aralığı kullanılır.</w:t>
      </w:r>
    </w:p>
    <w:p w:rsidR="000A177A" w:rsidRDefault="000A177A" w:rsidP="000A177A">
      <w:pPr>
        <w:pStyle w:val="GvdeMetni"/>
        <w:spacing w:line="240" w:lineRule="exact"/>
        <w:ind w:firstLine="567"/>
        <w:rPr>
          <w:sz w:val="18"/>
          <w:szCs w:val="18"/>
        </w:rPr>
      </w:pPr>
      <w:r>
        <w:rPr>
          <w:rFonts w:ascii="Times New Roman" w:hAnsi="Times New Roman"/>
          <w:sz w:val="18"/>
          <w:szCs w:val="18"/>
        </w:rPr>
        <w:t xml:space="preserve">(4) Matris hazırlamanın ikinci aşaması, sözleşmeye konu varlık fiyatının </w:t>
      </w:r>
      <w:proofErr w:type="gramStart"/>
      <w:r>
        <w:rPr>
          <w:rFonts w:ascii="Times New Roman" w:hAnsi="Times New Roman"/>
          <w:sz w:val="18"/>
          <w:szCs w:val="18"/>
        </w:rPr>
        <w:t>volatilitesindeki</w:t>
      </w:r>
      <w:proofErr w:type="gramEnd"/>
      <w:r>
        <w:rPr>
          <w:rFonts w:ascii="Times New Roman" w:hAnsi="Times New Roman"/>
          <w:sz w:val="18"/>
          <w:szCs w:val="18"/>
        </w:rPr>
        <w:t xml:space="preserve"> değişime ilişkindir. Sözleşmeye konu varlığın fiyatındaki </w:t>
      </w:r>
      <w:proofErr w:type="gramStart"/>
      <w:r>
        <w:rPr>
          <w:rFonts w:ascii="Times New Roman" w:hAnsi="Times New Roman"/>
          <w:sz w:val="18"/>
          <w:szCs w:val="18"/>
        </w:rPr>
        <w:t>volatilitenin</w:t>
      </w:r>
      <w:proofErr w:type="gramEnd"/>
      <w:r>
        <w:rPr>
          <w:rFonts w:ascii="Times New Roman" w:hAnsi="Times New Roman"/>
          <w:sz w:val="18"/>
          <w:szCs w:val="18"/>
        </w:rPr>
        <w:t xml:space="preserve"> ± yüzde </w:t>
      </w:r>
      <w:proofErr w:type="spellStart"/>
      <w:r>
        <w:rPr>
          <w:rFonts w:ascii="Times New Roman" w:hAnsi="Times New Roman"/>
          <w:sz w:val="18"/>
          <w:szCs w:val="18"/>
        </w:rPr>
        <w:t>yirmibeş</w:t>
      </w:r>
      <w:proofErr w:type="spellEnd"/>
      <w:r>
        <w:rPr>
          <w:rFonts w:ascii="Times New Roman" w:hAnsi="Times New Roman"/>
          <w:sz w:val="18"/>
          <w:szCs w:val="18"/>
        </w:rPr>
        <w:t xml:space="preserve"> oranında kaymasının dikkate alınması yeterli olmaktadır. Bununla birlikte Kurum gerekli gördüğü takdirde </w:t>
      </w:r>
      <w:proofErr w:type="gramStart"/>
      <w:r>
        <w:rPr>
          <w:rFonts w:ascii="Times New Roman" w:hAnsi="Times New Roman"/>
          <w:sz w:val="18"/>
          <w:szCs w:val="18"/>
        </w:rPr>
        <w:t>volatilitede</w:t>
      </w:r>
      <w:proofErr w:type="gramEnd"/>
      <w:r>
        <w:rPr>
          <w:rFonts w:ascii="Times New Roman" w:hAnsi="Times New Roman"/>
          <w:sz w:val="18"/>
          <w:szCs w:val="18"/>
        </w:rPr>
        <w:t xml:space="preserve"> farklı bir değişimin ya da bir oranın kullanılmasını ve/veya matriste ara seviyelerde belirlenecek noktalarda hesaplama yapılmasını isteyebilir.</w:t>
      </w:r>
    </w:p>
    <w:p w:rsidR="000A177A" w:rsidRDefault="000A177A" w:rsidP="000A177A">
      <w:pPr>
        <w:pStyle w:val="GvdeMetni"/>
        <w:spacing w:line="240" w:lineRule="exact"/>
        <w:ind w:firstLine="567"/>
        <w:rPr>
          <w:sz w:val="18"/>
          <w:szCs w:val="18"/>
        </w:rPr>
      </w:pPr>
      <w:r>
        <w:rPr>
          <w:rFonts w:ascii="Times New Roman" w:hAnsi="Times New Roman"/>
          <w:sz w:val="18"/>
          <w:szCs w:val="18"/>
        </w:rPr>
        <w:t xml:space="preserve">(5) Matrisin hesaplanmasını müteakip her bir hücre, </w:t>
      </w:r>
      <w:proofErr w:type="gramStart"/>
      <w:r>
        <w:rPr>
          <w:rFonts w:ascii="Times New Roman" w:hAnsi="Times New Roman"/>
          <w:sz w:val="18"/>
          <w:szCs w:val="18"/>
        </w:rPr>
        <w:t>opsiyon</w:t>
      </w:r>
      <w:proofErr w:type="gramEnd"/>
      <w:r>
        <w:rPr>
          <w:rFonts w:ascii="Times New Roman" w:hAnsi="Times New Roman"/>
          <w:sz w:val="18"/>
          <w:szCs w:val="18"/>
        </w:rPr>
        <w:t xml:space="preserve"> ve sözleşmeye konu korunma aracının net kâr/zararını içerir. Her bir sözleşmeye konu varlık için sermaye yükümlülüğü, matrisin içerdiği en büyük kayıp olarak dikkate alınır.</w:t>
      </w:r>
    </w:p>
    <w:p w:rsidR="000A177A" w:rsidRDefault="000A177A" w:rsidP="000A177A">
      <w:pPr>
        <w:spacing w:line="240" w:lineRule="exact"/>
        <w:ind w:firstLine="567"/>
        <w:jc w:val="both"/>
        <w:rPr>
          <w:sz w:val="18"/>
          <w:szCs w:val="18"/>
        </w:rPr>
      </w:pPr>
      <w:r>
        <w:rPr>
          <w:sz w:val="18"/>
          <w:szCs w:val="18"/>
        </w:rPr>
        <w:t xml:space="preserve">(6) Spesifik riske ilişkin sermaye yükümlülüğü, her bir opsiyonun delta eşdeğerinin, Yönetmeliğin 13 ve 14 üncü maddelerinde yer alan ilgili </w:t>
      </w:r>
      <w:proofErr w:type="gramStart"/>
      <w:r>
        <w:rPr>
          <w:sz w:val="18"/>
          <w:szCs w:val="18"/>
        </w:rPr>
        <w:t>spesifik</w:t>
      </w:r>
      <w:proofErr w:type="gramEnd"/>
      <w:r>
        <w:rPr>
          <w:sz w:val="18"/>
          <w:szCs w:val="18"/>
        </w:rPr>
        <w:t xml:space="preserve"> risk ağırlığıyla çarpılması suretiyle bulunur.</w:t>
      </w:r>
    </w:p>
    <w:p w:rsidR="000A177A" w:rsidRDefault="000A177A" w:rsidP="000A177A">
      <w:pPr>
        <w:spacing w:line="240" w:lineRule="exact"/>
        <w:ind w:firstLine="567"/>
        <w:jc w:val="both"/>
        <w:rPr>
          <w:sz w:val="18"/>
          <w:szCs w:val="18"/>
        </w:rPr>
      </w:pPr>
      <w:r>
        <w:rPr>
          <w:sz w:val="18"/>
          <w:szCs w:val="18"/>
        </w:rPr>
        <w:t xml:space="preserve">(7) Yukarıda ifade edilen risklerin yanı sıra, </w:t>
      </w:r>
      <w:proofErr w:type="gramStart"/>
      <w:r>
        <w:rPr>
          <w:sz w:val="18"/>
          <w:szCs w:val="18"/>
        </w:rPr>
        <w:t>opsiyonlar</w:t>
      </w:r>
      <w:proofErr w:type="gramEnd"/>
      <w:r>
        <w:rPr>
          <w:sz w:val="18"/>
          <w:szCs w:val="18"/>
        </w:rPr>
        <w:t xml:space="preserve"> </w:t>
      </w:r>
      <w:proofErr w:type="spellStart"/>
      <w:r>
        <w:rPr>
          <w:sz w:val="18"/>
          <w:szCs w:val="18"/>
        </w:rPr>
        <w:t>teta</w:t>
      </w:r>
      <w:proofErr w:type="spellEnd"/>
      <w:r>
        <w:rPr>
          <w:sz w:val="18"/>
          <w:szCs w:val="18"/>
        </w:rPr>
        <w:t xml:space="preserve">, </w:t>
      </w:r>
      <w:proofErr w:type="spellStart"/>
      <w:r>
        <w:rPr>
          <w:sz w:val="18"/>
          <w:szCs w:val="18"/>
        </w:rPr>
        <w:t>ro</w:t>
      </w:r>
      <w:proofErr w:type="spellEnd"/>
      <w:r>
        <w:rPr>
          <w:b/>
          <w:sz w:val="18"/>
          <w:szCs w:val="18"/>
        </w:rPr>
        <w:t xml:space="preserve"> </w:t>
      </w:r>
      <w:r>
        <w:rPr>
          <w:sz w:val="18"/>
          <w:szCs w:val="18"/>
        </w:rPr>
        <w:t xml:space="preserve">gibi riskleri de içerir. Anılan riskler kullanılan değerleme modellerinde ve risk yönetim sistemlerinde yer almasa da önemli ölçüde </w:t>
      </w:r>
      <w:proofErr w:type="gramStart"/>
      <w:r>
        <w:rPr>
          <w:sz w:val="18"/>
          <w:szCs w:val="18"/>
        </w:rPr>
        <w:t>opsiyon</w:t>
      </w:r>
      <w:proofErr w:type="gramEnd"/>
      <w:r>
        <w:rPr>
          <w:sz w:val="18"/>
          <w:szCs w:val="18"/>
        </w:rPr>
        <w:t xml:space="preserve"> portföyü olan bankaların bu riskleri de yakından izlemeleri ve nasıl izlediklerini Kuruma bildirmeleri gereklidir.</w:t>
      </w:r>
    </w:p>
    <w:p w:rsidR="000A177A" w:rsidRDefault="000A177A" w:rsidP="000A177A">
      <w:pPr>
        <w:pStyle w:val="GvdeMetni3"/>
        <w:tabs>
          <w:tab w:val="left" w:pos="0"/>
        </w:tabs>
        <w:spacing w:after="0" w:line="240" w:lineRule="exact"/>
        <w:jc w:val="center"/>
        <w:rPr>
          <w:b/>
          <w:sz w:val="18"/>
          <w:szCs w:val="18"/>
        </w:rPr>
      </w:pPr>
      <w:r>
        <w:rPr>
          <w:b/>
          <w:sz w:val="18"/>
          <w:szCs w:val="18"/>
        </w:rPr>
        <w:t>ÜÇÜNCÜ BÖLÜM</w:t>
      </w:r>
    </w:p>
    <w:p w:rsidR="000A177A" w:rsidRDefault="000A177A" w:rsidP="000A177A">
      <w:pPr>
        <w:pStyle w:val="GvdeMetni"/>
        <w:keepNext/>
        <w:spacing w:line="240" w:lineRule="exact"/>
        <w:jc w:val="center"/>
        <w:outlineLvl w:val="0"/>
        <w:rPr>
          <w:b/>
          <w:bCs/>
          <w:iCs/>
          <w:sz w:val="18"/>
          <w:szCs w:val="18"/>
        </w:rPr>
      </w:pPr>
      <w:r>
        <w:rPr>
          <w:rFonts w:ascii="Times New Roman" w:hAnsi="Times New Roman"/>
          <w:b/>
          <w:bCs/>
          <w:iCs/>
          <w:sz w:val="18"/>
          <w:szCs w:val="18"/>
        </w:rPr>
        <w:t>Çeşitli ve Son Hükümler</w:t>
      </w:r>
    </w:p>
    <w:p w:rsidR="000A177A" w:rsidRDefault="000A177A" w:rsidP="000A177A">
      <w:pPr>
        <w:spacing w:line="240" w:lineRule="exact"/>
        <w:ind w:firstLine="567"/>
        <w:jc w:val="both"/>
        <w:rPr>
          <w:b/>
          <w:sz w:val="18"/>
          <w:szCs w:val="18"/>
        </w:rPr>
      </w:pPr>
      <w:r>
        <w:rPr>
          <w:b/>
          <w:sz w:val="18"/>
          <w:szCs w:val="18"/>
        </w:rPr>
        <w:t>Yürürlükten kaldırılan tebliğler</w:t>
      </w:r>
    </w:p>
    <w:p w:rsidR="000A177A" w:rsidRDefault="000A177A" w:rsidP="000A177A">
      <w:pPr>
        <w:spacing w:line="240" w:lineRule="exact"/>
        <w:ind w:firstLine="567"/>
        <w:jc w:val="both"/>
        <w:rPr>
          <w:sz w:val="18"/>
          <w:szCs w:val="18"/>
        </w:rPr>
      </w:pPr>
      <w:r>
        <w:rPr>
          <w:b/>
          <w:sz w:val="18"/>
          <w:szCs w:val="18"/>
        </w:rPr>
        <w:t xml:space="preserve">MADDE 11- </w:t>
      </w:r>
      <w:r>
        <w:rPr>
          <w:sz w:val="18"/>
          <w:szCs w:val="18"/>
        </w:rPr>
        <w:t>(1) 3/11/</w:t>
      </w:r>
      <w:proofErr w:type="gramStart"/>
      <w:r>
        <w:rPr>
          <w:sz w:val="18"/>
          <w:szCs w:val="18"/>
        </w:rPr>
        <w:t>2006  tarihli</w:t>
      </w:r>
      <w:proofErr w:type="gramEnd"/>
      <w:r>
        <w:rPr>
          <w:sz w:val="18"/>
          <w:szCs w:val="18"/>
        </w:rPr>
        <w:t xml:space="preserve"> ve 26335 sayılı Resmi Gazete’de yayımlanan Opsiyonlardan Kaynaklanan Piyasa Riski İçin Standart Metoda Göre Sermaye Yükümlülüğü Hesaplanmasına İlişkin Tebliğ ile Kredi Türevlerinin Standart Metoda Göre Sermaye Yeterliliği Standart Oranı Hesaplamasında Dikkate Alınmasına İlişkin Tebliğ yürürlükten kaldırılmıştır.</w:t>
      </w:r>
    </w:p>
    <w:p w:rsidR="000A177A" w:rsidRDefault="000A177A" w:rsidP="000A177A">
      <w:pPr>
        <w:pStyle w:val="Balk4"/>
        <w:spacing w:line="240" w:lineRule="exact"/>
        <w:ind w:firstLine="567"/>
        <w:jc w:val="both"/>
        <w:rPr>
          <w:sz w:val="18"/>
          <w:szCs w:val="18"/>
        </w:rPr>
      </w:pPr>
      <w:r>
        <w:rPr>
          <w:b w:val="0"/>
          <w:sz w:val="18"/>
          <w:szCs w:val="18"/>
        </w:rPr>
        <w:t>Yürürlük</w:t>
      </w:r>
    </w:p>
    <w:p w:rsidR="000A177A" w:rsidRDefault="000A177A" w:rsidP="000A177A">
      <w:pPr>
        <w:spacing w:line="240" w:lineRule="exact"/>
        <w:ind w:firstLine="567"/>
        <w:jc w:val="both"/>
        <w:rPr>
          <w:iCs/>
          <w:sz w:val="18"/>
          <w:szCs w:val="18"/>
        </w:rPr>
      </w:pPr>
      <w:r>
        <w:rPr>
          <w:b/>
          <w:bCs/>
          <w:iCs/>
          <w:sz w:val="18"/>
          <w:szCs w:val="18"/>
        </w:rPr>
        <w:t>MADDE 12-</w:t>
      </w:r>
      <w:r>
        <w:rPr>
          <w:iCs/>
          <w:sz w:val="18"/>
          <w:szCs w:val="18"/>
        </w:rPr>
        <w:t xml:space="preserve"> (1) Bu Tebliğ </w:t>
      </w:r>
      <w:proofErr w:type="gramStart"/>
      <w:r>
        <w:rPr>
          <w:sz w:val="18"/>
          <w:szCs w:val="18"/>
        </w:rPr>
        <w:t>1/7/2012</w:t>
      </w:r>
      <w:proofErr w:type="gramEnd"/>
      <w:r>
        <w:rPr>
          <w:sz w:val="18"/>
          <w:szCs w:val="18"/>
        </w:rPr>
        <w:t xml:space="preserve"> </w:t>
      </w:r>
      <w:r>
        <w:rPr>
          <w:iCs/>
          <w:sz w:val="18"/>
          <w:szCs w:val="18"/>
        </w:rPr>
        <w:t>tarihinde</w:t>
      </w:r>
      <w:r>
        <w:rPr>
          <w:sz w:val="18"/>
          <w:szCs w:val="18"/>
        </w:rPr>
        <w:t xml:space="preserve"> yürürlüğe girer.</w:t>
      </w:r>
    </w:p>
    <w:p w:rsidR="000A177A" w:rsidRDefault="000A177A" w:rsidP="000A177A">
      <w:pPr>
        <w:spacing w:line="240" w:lineRule="exact"/>
        <w:ind w:firstLine="567"/>
        <w:jc w:val="both"/>
        <w:rPr>
          <w:b/>
          <w:bCs/>
          <w:iCs/>
          <w:sz w:val="18"/>
          <w:szCs w:val="18"/>
        </w:rPr>
      </w:pPr>
      <w:r>
        <w:rPr>
          <w:b/>
          <w:bCs/>
          <w:iCs/>
          <w:sz w:val="18"/>
          <w:szCs w:val="18"/>
        </w:rPr>
        <w:t>Yürütme</w:t>
      </w:r>
    </w:p>
    <w:p w:rsidR="000A177A" w:rsidRDefault="000A177A" w:rsidP="000A177A">
      <w:pPr>
        <w:spacing w:line="240" w:lineRule="exact"/>
        <w:ind w:firstLine="567"/>
        <w:jc w:val="both"/>
        <w:rPr>
          <w:sz w:val="18"/>
          <w:szCs w:val="18"/>
        </w:rPr>
      </w:pPr>
      <w:r>
        <w:rPr>
          <w:b/>
          <w:bCs/>
          <w:iCs/>
          <w:sz w:val="18"/>
          <w:szCs w:val="18"/>
        </w:rPr>
        <w:t>MADDE 13-</w:t>
      </w:r>
      <w:r>
        <w:rPr>
          <w:iCs/>
          <w:sz w:val="18"/>
          <w:szCs w:val="18"/>
        </w:rPr>
        <w:t xml:space="preserve"> (1) Bu Tebliğ </w:t>
      </w:r>
      <w:r>
        <w:rPr>
          <w:sz w:val="18"/>
          <w:szCs w:val="18"/>
        </w:rPr>
        <w:t>hükümlerini Bankacılık Düzenleme ve Denetleme Kurumu Başkanı yürütür.</w:t>
      </w:r>
    </w:p>
    <w:p w:rsidR="000A177A" w:rsidRPr="00CF2D7A" w:rsidRDefault="000A177A" w:rsidP="00F17BB7">
      <w:pPr>
        <w:spacing w:after="0" w:line="300" w:lineRule="atLeast"/>
        <w:jc w:val="right"/>
        <w:rPr>
          <w:rFonts w:ascii="Times New Roman" w:eastAsia="Times New Roman" w:hAnsi="Times New Roman" w:cs="Times New Roman"/>
          <w:sz w:val="20"/>
          <w:szCs w:val="20"/>
          <w:lang w:eastAsia="tr-TR"/>
        </w:rPr>
      </w:pPr>
    </w:p>
    <w:sectPr w:rsidR="000A177A"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9F4A7B"/>
    <w:rsid w:val="00A77DDB"/>
    <w:rsid w:val="00A8408E"/>
    <w:rsid w:val="00AD42C3"/>
    <w:rsid w:val="00AF0ED2"/>
    <w:rsid w:val="00B14E0E"/>
    <w:rsid w:val="00B861C0"/>
    <w:rsid w:val="00BD25BC"/>
    <w:rsid w:val="00BE27F2"/>
    <w:rsid w:val="00C11232"/>
    <w:rsid w:val="00C32A52"/>
    <w:rsid w:val="00CB5187"/>
    <w:rsid w:val="00CD1C13"/>
    <w:rsid w:val="00CD3904"/>
    <w:rsid w:val="00CF07CA"/>
    <w:rsid w:val="00CF2D7A"/>
    <w:rsid w:val="00D439D6"/>
    <w:rsid w:val="00D60BF5"/>
    <w:rsid w:val="00D65D15"/>
    <w:rsid w:val="00D83281"/>
    <w:rsid w:val="00DB51D0"/>
    <w:rsid w:val="00E04371"/>
    <w:rsid w:val="00E27B2A"/>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2538</Words>
  <Characters>14467</Characters>
  <Application>Microsoft Office Word</Application>
  <DocSecurity>0</DocSecurity>
  <Lines>120</Lines>
  <Paragraphs>33</Paragraphs>
  <ScaleCrop>false</ScaleCrop>
  <Company>TURMOB</Company>
  <LinksUpToDate>false</LinksUpToDate>
  <CharactersWithSpaces>16972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cp:revision>
  <dcterms:created xsi:type="dcterms:W3CDTF">2012-06-01T06:02:00Z</dcterms:created>
  <dcterms:modified xsi:type="dcterms:W3CDTF">2012-06-28T05:50:00Z</dcterms:modified>
</cp:coreProperties>
</file>