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910A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28338</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ED4FA1" w:rsidRDefault="00ED4FA1" w:rsidP="00F17BB7">
      <w:pPr>
        <w:spacing w:after="0" w:line="300" w:lineRule="atLeast"/>
        <w:jc w:val="right"/>
        <w:rPr>
          <w:rFonts w:ascii="Times New Roman" w:eastAsia="Times New Roman" w:hAnsi="Times New Roman" w:cs="Times New Roman"/>
          <w:sz w:val="20"/>
          <w:szCs w:val="20"/>
          <w:lang w:eastAsia="tr-TR"/>
        </w:rPr>
      </w:pPr>
    </w:p>
    <w:p w:rsid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ED4FA1">
        <w:rPr>
          <w:rFonts w:ascii="Times New Roman" w:eastAsia="ヒラギノ明朝 Pro W3" w:hAnsi="Times New Roman" w:cs="Times New Roman"/>
          <w:sz w:val="18"/>
          <w:szCs w:val="18"/>
          <w:u w:val="single"/>
        </w:rPr>
        <w:t>Kamu Gözetimi, Muhasebe ve Denetim Standartları Kurumundan: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ED4FA1" w:rsidRPr="00ED4FA1" w:rsidRDefault="00ED4FA1" w:rsidP="00ED4FA1">
      <w:pPr>
        <w:tabs>
          <w:tab w:val="left" w:pos="566"/>
        </w:tabs>
        <w:spacing w:after="0" w:line="240" w:lineRule="exact"/>
        <w:jc w:val="center"/>
        <w:rPr>
          <w:rFonts w:ascii="Times New Roman" w:eastAsia="ヒラギノ明朝 Pro W3" w:hAnsi="Times New Roman" w:cs="Times New Roman"/>
          <w:b/>
          <w:sz w:val="18"/>
          <w:szCs w:val="18"/>
        </w:rPr>
      </w:pPr>
      <w:r w:rsidRPr="00ED4FA1">
        <w:rPr>
          <w:rFonts w:ascii="Times New Roman" w:eastAsia="ヒラギノ明朝 Pro W3" w:hAnsi="Times New Roman" w:cs="Times New Roman"/>
          <w:b/>
          <w:sz w:val="18"/>
          <w:szCs w:val="18"/>
        </w:rPr>
        <w:t>TÜRKİYE MUHASEBE STANDARTLARI HAKKINDA TEBLİĞLERDE</w:t>
      </w:r>
    </w:p>
    <w:p w:rsidR="00ED4FA1" w:rsidRPr="00ED4FA1" w:rsidRDefault="00ED4FA1" w:rsidP="00ED4FA1">
      <w:pPr>
        <w:tabs>
          <w:tab w:val="left" w:pos="566"/>
        </w:tabs>
        <w:spacing w:after="0" w:line="240" w:lineRule="exact"/>
        <w:jc w:val="center"/>
        <w:rPr>
          <w:rFonts w:ascii="Times New Roman" w:eastAsia="ヒラギノ明朝 Pro W3" w:hAnsi="Times New Roman" w:cs="Times New Roman"/>
          <w:b/>
          <w:sz w:val="18"/>
          <w:szCs w:val="18"/>
        </w:rPr>
      </w:pPr>
      <w:r w:rsidRPr="00ED4FA1">
        <w:rPr>
          <w:rFonts w:ascii="Times New Roman" w:eastAsia="ヒラギノ明朝 Pro W3" w:hAnsi="Times New Roman" w:cs="Times New Roman"/>
          <w:b/>
          <w:sz w:val="18"/>
          <w:szCs w:val="18"/>
        </w:rPr>
        <w:t>DEĞİŞİKLİK YAPILMASINA İLİŞKİN TEBLİĞ</w:t>
      </w:r>
    </w:p>
    <w:p w:rsidR="00ED4FA1" w:rsidRDefault="00ED4FA1" w:rsidP="00ED4FA1">
      <w:pPr>
        <w:tabs>
          <w:tab w:val="left" w:pos="566"/>
        </w:tabs>
        <w:spacing w:after="0" w:line="240" w:lineRule="exact"/>
        <w:jc w:val="center"/>
        <w:rPr>
          <w:rFonts w:ascii="Times New Roman" w:eastAsia="ヒラギノ明朝 Pro W3" w:hAnsi="Times New Roman" w:cs="Times New Roman"/>
          <w:b/>
          <w:sz w:val="18"/>
          <w:szCs w:val="18"/>
        </w:rPr>
      </w:pPr>
      <w:r w:rsidRPr="00ED4FA1">
        <w:rPr>
          <w:rFonts w:ascii="Times New Roman" w:eastAsia="ヒラギノ明朝 Pro W3" w:hAnsi="Times New Roman" w:cs="Times New Roman"/>
          <w:b/>
          <w:sz w:val="18"/>
          <w:szCs w:val="18"/>
        </w:rPr>
        <w:t>SIRA NO: 1</w:t>
      </w:r>
    </w:p>
    <w:p w:rsidR="00ED4FA1" w:rsidRPr="00ED4FA1" w:rsidRDefault="00ED4FA1" w:rsidP="00ED4FA1">
      <w:pPr>
        <w:tabs>
          <w:tab w:val="left" w:pos="566"/>
        </w:tabs>
        <w:spacing w:after="0" w:line="240" w:lineRule="exact"/>
        <w:jc w:val="center"/>
        <w:rPr>
          <w:rFonts w:ascii="Times New Roman" w:eastAsia="ヒラギノ明朝 Pro W3" w:hAnsi="Times New Roman" w:cs="Times New Roman"/>
          <w:b/>
          <w:sz w:val="18"/>
          <w:szCs w:val="18"/>
        </w:rPr>
      </w:pP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 xml:space="preserve">MADDE 1 – </w:t>
      </w:r>
      <w:proofErr w:type="gramStart"/>
      <w:r w:rsidRPr="00ED4FA1">
        <w:rPr>
          <w:rFonts w:ascii="Times New Roman" w:eastAsia="ヒラギノ明朝 Pro W3" w:hAnsi="Times New Roman" w:cs="Times New Roman"/>
          <w:sz w:val="18"/>
          <w:szCs w:val="18"/>
        </w:rPr>
        <w:t>13/8/2008</w:t>
      </w:r>
      <w:proofErr w:type="gramEnd"/>
      <w:r w:rsidRPr="00ED4FA1">
        <w:rPr>
          <w:rFonts w:ascii="Times New Roman" w:eastAsia="ヒラギノ明朝 Pro W3" w:hAnsi="Times New Roman" w:cs="Times New Roman"/>
          <w:sz w:val="18"/>
          <w:szCs w:val="18"/>
        </w:rPr>
        <w:t xml:space="preserve"> tarihli ve 26966 sayılı Resmî Gazete’de yayımlanan 66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Finansal Tabloların Sunuluşuna İlişkin Türkiye Muhasebe Standardı (TMS 1) Hakkında Tebliğin Ek-1’inde yer alan “TMS 1 Finansal Tabloların Sunuluşu”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(a) 7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Paragrafında yer alan “Dipnotlar” tanımı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“Dipnotlar: Finansal durum tablosunda (bilanço), kâr veya zarar ve diğer kapsamlı gelir tablosunda (veya tablolarında), </w:t>
      </w:r>
      <w:proofErr w:type="spellStart"/>
      <w:r w:rsidRPr="00ED4FA1">
        <w:rPr>
          <w:rFonts w:ascii="Times New Roman" w:eastAsia="ヒラギノ明朝 Pro W3" w:hAnsi="Times New Roman" w:cs="Times New Roman"/>
          <w:sz w:val="18"/>
          <w:szCs w:val="18"/>
        </w:rPr>
        <w:t>özkaynak</w:t>
      </w:r>
      <w:proofErr w:type="spellEnd"/>
      <w:r w:rsidRPr="00ED4FA1">
        <w:rPr>
          <w:rFonts w:ascii="Times New Roman" w:eastAsia="ヒラギノ明朝 Pro W3" w:hAnsi="Times New Roman" w:cs="Times New Roman"/>
          <w:sz w:val="18"/>
          <w:szCs w:val="18"/>
        </w:rPr>
        <w:t xml:space="preserve"> değişim tablosunda ve nakit akış tablosunda sunulan bilgilere ilave bilgiler içerir. Dipnotlarda, bu tablolarda sunulan kalemlere ilişkin açıklayıcı metinler veya açılımlar ve muhasebeleştirme </w:t>
      </w:r>
      <w:proofErr w:type="gramStart"/>
      <w:r w:rsidRPr="00ED4FA1">
        <w:rPr>
          <w:rFonts w:ascii="Times New Roman" w:eastAsia="ヒラギノ明朝 Pro W3" w:hAnsi="Times New Roman" w:cs="Times New Roman"/>
          <w:sz w:val="18"/>
          <w:szCs w:val="18"/>
        </w:rPr>
        <w:t>kriterlerini</w:t>
      </w:r>
      <w:proofErr w:type="gramEnd"/>
      <w:r w:rsidRPr="00ED4FA1">
        <w:rPr>
          <w:rFonts w:ascii="Times New Roman" w:eastAsia="ヒラギノ明朝 Pro W3" w:hAnsi="Times New Roman" w:cs="Times New Roman"/>
          <w:sz w:val="18"/>
          <w:szCs w:val="18"/>
        </w:rPr>
        <w:t xml:space="preserve"> karşılamadığı için bu tablolarda yer verilmeyen kalemlere ilişkin bilgiler yer alır.”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10 uncu Paragrafının (b) bendi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Döneme ait kâr veya zarar ve diğer kapsamlı gelir tablosu,”</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(c) 10 uncu Paragrafının (f) bendinden sonra gelen ikinci fıkrası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“Finansal tablolar için bu Standartta kullanılanlar dışında başlıklar kullanılabilir. Örneğin; bir işletme “kâr veya zarar ve diğer kapsamlı gelir tablosu” yerine “kapsamlı gelir tablosu” başlığını kullanabilir.”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(ç) 10 uncu Paragrafından sonra gelmek üzere aşağıda yer alan 10A Paragrafı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“10A. Bir işletme, kâr veya zarar ile diğer kapsamlı gelirin iki bölüm halinde sunulduğu tek bir kâr veya zarar ve diğer kapsamlı gelir tablosu sunabilir. Söz konusu bölümler, ilk olarak kâr veya zarar bölümü, bu bölümün hemen ardından da diğer kapsamlı gelir bölümü gelmek üzere bir arada sunulur. İşletme kâr veya zarar bölümünü ayrı bir kâr veya zarar tablosunda sunabilir. Bu durumda, ayrı kâr veya zarar tablosu kapsamlı gelirin sunulduğu tablodan hemen önce gösterilir.”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(d) 12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Paragrafı yürürlükten kaldırılmıştır.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(e) 81 inci Paragrafından önce gelen başlık aşağıdaki şekilde değiştirilmiş; 81 inci Paragrafı yürürlükten kaldırılmış; 81 inci Paragrafından sonra gelmek üzere aşağıda yer alan 81A ve 81B Paragrafları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b/>
          <w:sz w:val="18"/>
          <w:szCs w:val="18"/>
        </w:rPr>
      </w:pPr>
      <w:r w:rsidRPr="00ED4FA1">
        <w:rPr>
          <w:rFonts w:ascii="Times New Roman" w:eastAsia="ヒラギノ明朝 Pro W3" w:hAnsi="Times New Roman" w:cs="Times New Roman"/>
          <w:b/>
          <w:sz w:val="18"/>
          <w:szCs w:val="18"/>
        </w:rPr>
        <w:t>“Kâr veya Zarar ve Diğer Kapsamlı Gelir Tablosu (veya Tabloları)”</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“81A. Kâr veya zarar ve diğer kapsamlı gelir tablosunda, kâr veya zarar ile diğer kapsamlı gelir bölümlerine ek olarak aşağıdakiler sunulur: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Kâr veya zarar,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Toplam diğer kapsamlı gelir,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(c) Kâr veya zarar ile diğer kapsamlı gelirin toplamı olan döneme ait kapsamlı gelir.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İşletmenin ayrı bir kâr veya zarar tablosu sunması durumunda, kapsamlı gelirin sunulduğu tabloda kâr veya zarar bölümü gösterilmez.”</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“81B. İşletme kâr veya zarar ile diğer kapsamlı gelir bölümlerine ek olarak, döneme ait kâr veya zararın ve diğer kapsamlı gelirin dağılımını gösteren aşağıdaki kalemleri sunar: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Döneme ait kâr veya zararın;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(i) Kontrol gücü olmayan paylara ve</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w:t>
      </w:r>
      <w:proofErr w:type="spellStart"/>
      <w:r w:rsidRPr="00ED4FA1">
        <w:rPr>
          <w:rFonts w:ascii="Times New Roman" w:eastAsia="ヒラギノ明朝 Pro W3" w:hAnsi="Times New Roman" w:cs="Times New Roman"/>
          <w:sz w:val="18"/>
          <w:szCs w:val="18"/>
        </w:rPr>
        <w:t>ii</w:t>
      </w:r>
      <w:proofErr w:type="spellEnd"/>
      <w:r w:rsidRPr="00ED4FA1">
        <w:rPr>
          <w:rFonts w:ascii="Times New Roman" w:eastAsia="ヒラギノ明朝 Pro W3" w:hAnsi="Times New Roman" w:cs="Times New Roman"/>
          <w:sz w:val="18"/>
          <w:szCs w:val="18"/>
        </w:rPr>
        <w:t>) Ana ortaklık sahiplerine</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D4FA1">
        <w:rPr>
          <w:rFonts w:ascii="Times New Roman" w:eastAsia="ヒラギノ明朝 Pro W3" w:hAnsi="Times New Roman" w:cs="Times New Roman"/>
          <w:sz w:val="18"/>
          <w:szCs w:val="18"/>
        </w:rPr>
        <w:t>isabet</w:t>
      </w:r>
      <w:proofErr w:type="gramEnd"/>
      <w:r w:rsidRPr="00ED4FA1">
        <w:rPr>
          <w:rFonts w:ascii="Times New Roman" w:eastAsia="ヒラギノ明朝 Pro W3" w:hAnsi="Times New Roman" w:cs="Times New Roman"/>
          <w:sz w:val="18"/>
          <w:szCs w:val="18"/>
        </w:rPr>
        <w:t xml:space="preserve"> eden kısmı ile</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Döneme ait kapsamlı gelirin;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(i) Kontrol gücü olmayan paylara ve</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w:t>
      </w:r>
      <w:proofErr w:type="spellStart"/>
      <w:r w:rsidRPr="00ED4FA1">
        <w:rPr>
          <w:rFonts w:ascii="Times New Roman" w:eastAsia="ヒラギノ明朝 Pro W3" w:hAnsi="Times New Roman" w:cs="Times New Roman"/>
          <w:sz w:val="18"/>
          <w:szCs w:val="18"/>
        </w:rPr>
        <w:t>ii</w:t>
      </w:r>
      <w:proofErr w:type="spellEnd"/>
      <w:r w:rsidRPr="00ED4FA1">
        <w:rPr>
          <w:rFonts w:ascii="Times New Roman" w:eastAsia="ヒラギノ明朝 Pro W3" w:hAnsi="Times New Roman" w:cs="Times New Roman"/>
          <w:sz w:val="18"/>
          <w:szCs w:val="18"/>
        </w:rPr>
        <w:t>) Ana ortaklık sahiplerine</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D4FA1">
        <w:rPr>
          <w:rFonts w:ascii="Times New Roman" w:eastAsia="ヒラギノ明朝 Pro W3" w:hAnsi="Times New Roman" w:cs="Times New Roman"/>
          <w:sz w:val="18"/>
          <w:szCs w:val="18"/>
        </w:rPr>
        <w:t>isabet</w:t>
      </w:r>
      <w:proofErr w:type="gramEnd"/>
      <w:r w:rsidRPr="00ED4FA1">
        <w:rPr>
          <w:rFonts w:ascii="Times New Roman" w:eastAsia="ヒラギノ明朝 Pro W3" w:hAnsi="Times New Roman" w:cs="Times New Roman"/>
          <w:sz w:val="18"/>
          <w:szCs w:val="18"/>
        </w:rPr>
        <w:t xml:space="preserve"> eden kısmı.</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İşletmenin ayrı bir kâr veya zarar tablosu sunması durumunda, (a) bendinde yer alan bilgiler bu tabloda sunulur.”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(f) 82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Paragrafından önce gelen başlık ile 82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Paragrafının ilk cümlesi aşağıdaki şekilde değiştirilmiş; aynı paragrafın (e), (f), (g), (h) ve (i) bentleri yürürlükten kaldırılmış ve (e) bendinden sonra gelmek üzere aşağıda yer alan (</w:t>
      </w:r>
      <w:proofErr w:type="spellStart"/>
      <w:r w:rsidRPr="00ED4FA1">
        <w:rPr>
          <w:rFonts w:ascii="Times New Roman" w:eastAsia="ヒラギノ明朝 Pro W3" w:hAnsi="Times New Roman" w:cs="Times New Roman"/>
          <w:sz w:val="18"/>
          <w:szCs w:val="18"/>
        </w:rPr>
        <w:t>ea</w:t>
      </w:r>
      <w:proofErr w:type="spellEnd"/>
      <w:r w:rsidRPr="00ED4FA1">
        <w:rPr>
          <w:rFonts w:ascii="Times New Roman" w:eastAsia="ヒラギノ明朝 Pro W3" w:hAnsi="Times New Roman" w:cs="Times New Roman"/>
          <w:sz w:val="18"/>
          <w:szCs w:val="18"/>
        </w:rPr>
        <w:t>) bendi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b/>
          <w:sz w:val="18"/>
          <w:szCs w:val="18"/>
        </w:rPr>
      </w:pPr>
      <w:r w:rsidRPr="00ED4FA1">
        <w:rPr>
          <w:rFonts w:ascii="Times New Roman" w:eastAsia="ヒラギノ明朝 Pro W3" w:hAnsi="Times New Roman" w:cs="Times New Roman"/>
          <w:b/>
          <w:sz w:val="18"/>
          <w:szCs w:val="18"/>
        </w:rPr>
        <w:t>“Kâr veya Zarar Bölümünde veya Kâr veya Zarar Tablosunda Sunulacak Bilgiler”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“Diğer </w:t>
      </w:r>
      <w:proofErr w:type="spellStart"/>
      <w:r w:rsidRPr="00ED4FA1">
        <w:rPr>
          <w:rFonts w:ascii="Times New Roman" w:eastAsia="ヒラギノ明朝 Pro W3" w:hAnsi="Times New Roman" w:cs="Times New Roman"/>
          <w:sz w:val="18"/>
          <w:szCs w:val="18"/>
        </w:rPr>
        <w:t>TFRS’ler</w:t>
      </w:r>
      <w:proofErr w:type="spellEnd"/>
      <w:r w:rsidRPr="00ED4FA1">
        <w:rPr>
          <w:rFonts w:ascii="Times New Roman" w:eastAsia="ヒラギノ明朝 Pro W3" w:hAnsi="Times New Roman" w:cs="Times New Roman"/>
          <w:sz w:val="18"/>
          <w:szCs w:val="18"/>
        </w:rPr>
        <w:t xml:space="preserve"> uyarınca zorunlu olan kalemlere ek olarak, kâr veya zarar bölümü veya kâr veya zarar tablosu, döneme ait aşağıdaki tutarları gösteren kalemleri içerir:”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w:t>
      </w:r>
      <w:proofErr w:type="spellStart"/>
      <w:r w:rsidRPr="00ED4FA1">
        <w:rPr>
          <w:rFonts w:ascii="Times New Roman" w:eastAsia="ヒラギノ明朝 Pro W3" w:hAnsi="Times New Roman" w:cs="Times New Roman"/>
          <w:sz w:val="18"/>
          <w:szCs w:val="18"/>
        </w:rPr>
        <w:t>ea</w:t>
      </w:r>
      <w:proofErr w:type="spellEnd"/>
      <w:r w:rsidRPr="00ED4FA1">
        <w:rPr>
          <w:rFonts w:ascii="Times New Roman" w:eastAsia="ヒラギノ明朝 Pro W3" w:hAnsi="Times New Roman" w:cs="Times New Roman"/>
          <w:sz w:val="18"/>
          <w:szCs w:val="18"/>
        </w:rPr>
        <w:t>) Durdurulan faaliyetlerin toplamına ait tek bir tutar (bakınız: TFRS 5).”</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(g) 82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Paragrafından sonra gelmek üzere aşağıda yer alan başlık ile 82A Paragrafı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b/>
          <w:sz w:val="18"/>
          <w:szCs w:val="18"/>
        </w:rPr>
      </w:pPr>
      <w:r w:rsidRPr="00ED4FA1">
        <w:rPr>
          <w:rFonts w:ascii="Times New Roman" w:eastAsia="ヒラギノ明朝 Pro W3" w:hAnsi="Times New Roman" w:cs="Times New Roman"/>
          <w:b/>
          <w:sz w:val="18"/>
          <w:szCs w:val="18"/>
        </w:rPr>
        <w:lastRenderedPageBreak/>
        <w:t>“Diğer kapsamlı gelir bölümünde sunulacak bilgiler”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“82A. Diğer kapsamlı gelir bölümü, döneme ait diğer kapsamlı gelir tutarlarını gösteren kalemleri sunar. Bu kalemler, çeşit esasına göre sınıflandırılır (</w:t>
      </w:r>
      <w:proofErr w:type="spellStart"/>
      <w:r w:rsidRPr="00ED4FA1">
        <w:rPr>
          <w:rFonts w:ascii="Times New Roman" w:eastAsia="ヒラギノ明朝 Pro W3" w:hAnsi="Times New Roman" w:cs="Times New Roman"/>
          <w:sz w:val="18"/>
          <w:szCs w:val="18"/>
        </w:rPr>
        <w:t>özkaynak</w:t>
      </w:r>
      <w:proofErr w:type="spellEnd"/>
      <w:r w:rsidRPr="00ED4FA1">
        <w:rPr>
          <w:rFonts w:ascii="Times New Roman" w:eastAsia="ヒラギノ明朝 Pro W3" w:hAnsi="Times New Roman" w:cs="Times New Roman"/>
          <w:sz w:val="18"/>
          <w:szCs w:val="18"/>
        </w:rPr>
        <w:t xml:space="preserve"> yöntemine göre muhasebeleştirilen iştiraklerin ve iş ortaklıklarının diğer kapsamlı gelirlerinden paylar </w:t>
      </w:r>
      <w:proofErr w:type="gramStart"/>
      <w:r w:rsidRPr="00ED4FA1">
        <w:rPr>
          <w:rFonts w:ascii="Times New Roman" w:eastAsia="ヒラギノ明朝 Pro W3" w:hAnsi="Times New Roman" w:cs="Times New Roman"/>
          <w:sz w:val="18"/>
          <w:szCs w:val="18"/>
        </w:rPr>
        <w:t>dahil</w:t>
      </w:r>
      <w:proofErr w:type="gramEnd"/>
      <w:r w:rsidRPr="00ED4FA1">
        <w:rPr>
          <w:rFonts w:ascii="Times New Roman" w:eastAsia="ヒラギノ明朝 Pro W3" w:hAnsi="Times New Roman" w:cs="Times New Roman"/>
          <w:sz w:val="18"/>
          <w:szCs w:val="18"/>
        </w:rPr>
        <w:t xml:space="preserve">) ve diğer </w:t>
      </w:r>
      <w:proofErr w:type="spellStart"/>
      <w:r w:rsidRPr="00ED4FA1">
        <w:rPr>
          <w:rFonts w:ascii="Times New Roman" w:eastAsia="ヒラギノ明朝 Pro W3" w:hAnsi="Times New Roman" w:cs="Times New Roman"/>
          <w:sz w:val="18"/>
          <w:szCs w:val="18"/>
        </w:rPr>
        <w:t>TFRS’lerde</w:t>
      </w:r>
      <w:proofErr w:type="spellEnd"/>
      <w:r w:rsidRPr="00ED4FA1">
        <w:rPr>
          <w:rFonts w:ascii="Times New Roman" w:eastAsia="ヒラギノ明朝 Pro W3" w:hAnsi="Times New Roman" w:cs="Times New Roman"/>
          <w:sz w:val="18"/>
          <w:szCs w:val="18"/>
        </w:rPr>
        <w:t xml:space="preserve"> yer alan hükümler doğrultusunda aşağıdaki şekilde gruplandırılır: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Sonradan kâr veya zararda yeniden sınıflandırılmayacaklar ve</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Belirli koşullar karşılandığında, sonradan kâr veya zararda yeniden sınıflandırılacaklar.”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(h) 83 ve 84 üncü Paragrafları yürürlükten kaldırılmıştır.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(ı) 85 inci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“85. İşletme, böyle bir sunumun işletmenin finansal performansının anlaşılması açısından ihtiyaca daha uygun olduğu durumlarda, kâr veya zararın ve diğer kapsamlı gelirin sunulduğu tabloda (veya tablolarda) ek kalemler, başlıklar ve ara toplamlar sunar.”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(i) 86 </w:t>
      </w:r>
      <w:proofErr w:type="spellStart"/>
      <w:r w:rsidRPr="00ED4FA1">
        <w:rPr>
          <w:rFonts w:ascii="Times New Roman" w:eastAsia="ヒラギノ明朝 Pro W3" w:hAnsi="Times New Roman" w:cs="Times New Roman"/>
          <w:sz w:val="18"/>
          <w:szCs w:val="18"/>
        </w:rPr>
        <w:t>ncı</w:t>
      </w:r>
      <w:proofErr w:type="spellEnd"/>
      <w:r w:rsidRPr="00ED4FA1">
        <w:rPr>
          <w:rFonts w:ascii="Times New Roman" w:eastAsia="ヒラギノ明朝 Pro W3" w:hAnsi="Times New Roman" w:cs="Times New Roman"/>
          <w:sz w:val="18"/>
          <w:szCs w:val="18"/>
        </w:rPr>
        <w:t xml:space="preserve"> Paragrafının ikinci cümlesi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“Finansal performansın unsurlarının açıklanması için gerekli olduğu takdirde, işletme kâr veya zararın ve diğer kapsamlı gelirin sunulduğu tabloya (veya tablolara) ek kalemler ilave eder, kullanılan tanımları ve kalemlerin sıralamasını düzeltir.”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(j) 87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“87. İşletme kâr veya zararın ve diğer kapsamlı gelirin sunulduğu tabloda (veya tablolarda) ya da dipnotlarda hiçbir gelir veya gider kalemini olağan dışı kalem olarak sunamaz.”</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(k) 90 ve 91 inci Paragrafları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“90. İşletme yeniden sınıflandırma düzetmeleri de </w:t>
      </w:r>
      <w:proofErr w:type="gramStart"/>
      <w:r w:rsidRPr="00ED4FA1">
        <w:rPr>
          <w:rFonts w:ascii="Times New Roman" w:eastAsia="ヒラギノ明朝 Pro W3" w:hAnsi="Times New Roman" w:cs="Times New Roman"/>
          <w:sz w:val="18"/>
          <w:szCs w:val="18"/>
        </w:rPr>
        <w:t>dahil</w:t>
      </w:r>
      <w:proofErr w:type="gramEnd"/>
      <w:r w:rsidRPr="00ED4FA1">
        <w:rPr>
          <w:rFonts w:ascii="Times New Roman" w:eastAsia="ヒラギノ明朝 Pro W3" w:hAnsi="Times New Roman" w:cs="Times New Roman"/>
          <w:sz w:val="18"/>
          <w:szCs w:val="18"/>
        </w:rPr>
        <w:t xml:space="preserve"> olmak üzere diğer kapsamlı gelirin her bir kalemiyle ilgili gelir vergisi tutarını kâr veya zarar ve diğer kapsamlı gelir tablosunda ya da dipnotlarda açıklar.”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“91. İşletme, diğer kapsamlı gelir kalemlerini;</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İlgili vergisel etkilerden arındırılmış net tutarı ya da</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Kalemlere ilişkin gelir vergilerinin toplam tutarını ayrı olarak tek bir kalemde göstermek suretiyle,  ilgili vergisel etkiler dikkate alınmadan önceki tutarı ile sunabilir.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İşletmenin (b) bendinde yer alan alternatifi seçmesi durumunda, söz konusu vergi tutarı sonradan kâr veya zarar bölümünde yeniden sınıflandırılabilecek ve sonradan kâr veya zarar bölümünde yeniden sınıflandırılmayacak kalemler arasında dağıtılır.”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(l) 94 üncü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“94. İşletme yeniden sınıflandırma düzeltmelerini kâr veya zarar ve diğer kapsamlı gelir tablosunda (veya tablolarında) ya da dipnotlarda sunabilir. Yeniden sınıflandırma düzeltmelerini dipnotlarda sunan bir işletme, diğer kapsamlı gelir unsurlarını ilgili yeniden sınıflandırma düzeltmelerinden sonraki tutarı ile gösterir.”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(m) 97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Paragrafından önce gelen başlık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“Kâr veya zarar ve diğer kapsamlı gelir tablosunda (veya tablolarında) ya da dipnotlarda sunulacak bilgiler”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(n) 100 üncü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“100. İşletmelerin 99 uncu Paragrafta yer alan analizleri kâr veya zararın ve diğer kapsamlı gelirin sunulduğu tabloda (veya tablolarda) göstermeleri teşvik edilmektedir.”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(o) 115 inci Paragrafının ikinci cümlesi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“Örneğin, bir işletme, kâr veya zararda muhasebeleştirilen gerçeğe uygun değer değişiklikleri ile ilgili bilgilerle finansal araçların vadelerine ilişkin açıklamaları, her ne kadar ilk açıklama kâr veya zararın ve diğer kapsamlı gelirin sunulduğu tabloyla (veya tablolarla), ikinci açıklama ise finansal durum tablosuyla ilgili olsa da birleştirebilir.”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(ö) 139H Paragrafından sonra gelmek üzere aşağıda yer alan 139I ve 139J Paragrafları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“139I. “-””</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“139J. Diğer kapsamlı gelir kalemlerinin sunumuna ilişkin yapılan değişikliklerle bu Standardın 7, 10, 82, 85–87, 90, 91, 94, 100 ve 115 inci Paragrafları değiştirilmiş, Standarda 10A, 81A, 81B ve 82A Paragrafları eklenmiş ve Standarttan 12, 81, 83 ve 84 üncü Paragrafları silinmiştir. Söz konusu değişiklikler </w:t>
      </w:r>
      <w:proofErr w:type="gramStart"/>
      <w:r w:rsidRPr="00ED4FA1">
        <w:rPr>
          <w:rFonts w:ascii="Times New Roman" w:eastAsia="ヒラギノ明朝 Pro W3" w:hAnsi="Times New Roman" w:cs="Times New Roman"/>
          <w:sz w:val="18"/>
          <w:szCs w:val="18"/>
        </w:rPr>
        <w:t>30/6/2012</w:t>
      </w:r>
      <w:proofErr w:type="gramEnd"/>
      <w:r w:rsidRPr="00ED4FA1">
        <w:rPr>
          <w:rFonts w:ascii="Times New Roman" w:eastAsia="ヒラギノ明朝 Pro W3" w:hAnsi="Times New Roman" w:cs="Times New Roman"/>
          <w:sz w:val="18"/>
          <w:szCs w:val="18"/>
        </w:rPr>
        <w:t xml:space="preserve"> tarihinden sonra başlayan hesap dönemlerinde uygulanır. İsteyen işletmeler bu değişiklikleri </w:t>
      </w:r>
      <w:proofErr w:type="gramStart"/>
      <w:r w:rsidRPr="00ED4FA1">
        <w:rPr>
          <w:rFonts w:ascii="Times New Roman" w:eastAsia="ヒラギノ明朝 Pro W3" w:hAnsi="Times New Roman" w:cs="Times New Roman"/>
          <w:sz w:val="18"/>
          <w:szCs w:val="18"/>
        </w:rPr>
        <w:t>1/7/2012</w:t>
      </w:r>
      <w:proofErr w:type="gramEnd"/>
      <w:r w:rsidRPr="00ED4FA1">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MADDE 2 –</w:t>
      </w:r>
      <w:r w:rsidRPr="00ED4FA1">
        <w:rPr>
          <w:rFonts w:ascii="Times New Roman" w:eastAsia="ヒラギノ明朝 Pro W3" w:hAnsi="Times New Roman" w:cs="Times New Roman"/>
          <w:sz w:val="18"/>
          <w:szCs w:val="18"/>
        </w:rPr>
        <w:t xml:space="preserve"> </w:t>
      </w:r>
      <w:proofErr w:type="gramStart"/>
      <w:r w:rsidRPr="00ED4FA1">
        <w:rPr>
          <w:rFonts w:ascii="Times New Roman" w:eastAsia="ヒラギノ明朝 Pro W3" w:hAnsi="Times New Roman" w:cs="Times New Roman"/>
          <w:sz w:val="18"/>
          <w:szCs w:val="18"/>
        </w:rPr>
        <w:t>3/5/2009</w:t>
      </w:r>
      <w:proofErr w:type="gramEnd"/>
      <w:r w:rsidRPr="00ED4FA1">
        <w:rPr>
          <w:rFonts w:ascii="Times New Roman" w:eastAsia="ヒラギノ明朝 Pro W3" w:hAnsi="Times New Roman" w:cs="Times New Roman"/>
          <w:sz w:val="18"/>
          <w:szCs w:val="18"/>
        </w:rPr>
        <w:t xml:space="preserve"> tarihli ve 27217 sayılı Resmî Gazete’de yayımlanan 146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Türkiye Finansal Raporlama Standartlarının İlk Uygulamasına İlişkin Türkiye Finansal Raporlama Standardı (TFRS 1) Hakkında Tebliğin Ek-1’inde yer alan “TFRS 1 Türkiye Finansal Raporlama Standartlarının İlk Uygulaması”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21 inci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D4FA1">
        <w:rPr>
          <w:rFonts w:ascii="Times New Roman" w:eastAsia="ヒラギノ明朝 Pro W3" w:hAnsi="Times New Roman" w:cs="Times New Roman"/>
          <w:sz w:val="18"/>
          <w:szCs w:val="18"/>
        </w:rPr>
        <w:t xml:space="preserve">“21. TMS 1 ile uyum sağlanması açısından, </w:t>
      </w:r>
      <w:proofErr w:type="spellStart"/>
      <w:r w:rsidRPr="00ED4FA1">
        <w:rPr>
          <w:rFonts w:ascii="Times New Roman" w:eastAsia="ヒラギノ明朝 Pro W3" w:hAnsi="Times New Roman" w:cs="Times New Roman"/>
          <w:sz w:val="18"/>
          <w:szCs w:val="18"/>
        </w:rPr>
        <w:t>TFRS’lerin</w:t>
      </w:r>
      <w:proofErr w:type="spellEnd"/>
      <w:r w:rsidRPr="00ED4FA1">
        <w:rPr>
          <w:rFonts w:ascii="Times New Roman" w:eastAsia="ヒラギノ明朝 Pro W3" w:hAnsi="Times New Roman" w:cs="Times New Roman"/>
          <w:sz w:val="18"/>
          <w:szCs w:val="18"/>
        </w:rPr>
        <w:t xml:space="preserve"> ilk kez uygulandığı finansal tablolarda, karşılaştırmalı bilgi içeren en az üç finansal durum tablosuna, iki kâr veya zarar ve diğer kapsamlı gelir tablosuna, iki ayrı kâr veya zarar tablosuna (sunuluyor ise), iki nakit akış tablosuna, iki </w:t>
      </w:r>
      <w:proofErr w:type="spellStart"/>
      <w:r w:rsidRPr="00ED4FA1">
        <w:rPr>
          <w:rFonts w:ascii="Times New Roman" w:eastAsia="ヒラギノ明朝 Pro W3" w:hAnsi="Times New Roman" w:cs="Times New Roman"/>
          <w:sz w:val="18"/>
          <w:szCs w:val="18"/>
        </w:rPr>
        <w:t>özkaynaklar</w:t>
      </w:r>
      <w:proofErr w:type="spellEnd"/>
      <w:r w:rsidRPr="00ED4FA1">
        <w:rPr>
          <w:rFonts w:ascii="Times New Roman" w:eastAsia="ヒラギノ明朝 Pro W3" w:hAnsi="Times New Roman" w:cs="Times New Roman"/>
          <w:sz w:val="18"/>
          <w:szCs w:val="18"/>
        </w:rPr>
        <w:t xml:space="preserve"> değişim tablosuna ve ilgili dipnotlara yer verilir.”</w:t>
      </w:r>
      <w:proofErr w:type="gramEnd"/>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39I Paragrafından sonra gelmek üzere aşağıda yer alan 39J ve 39K Paragrafları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“39J. “-””</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lastRenderedPageBreak/>
        <w:t>“39K. Diğer kapsamlı gelir kalemlerinin sunumuna ilişkin TMS 1’de yapılan değişiklikler ile 21 inci Paragraf değiştirilmiştir. TMS 1’de yapılan bu değişiklikler uygulandığında, TFRS 1’de yapılan söz konusu değişiklik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MADDE 3 –</w:t>
      </w:r>
      <w:r w:rsidRPr="00ED4FA1">
        <w:rPr>
          <w:rFonts w:ascii="Times New Roman" w:eastAsia="ヒラギノ明朝 Pro W3" w:hAnsi="Times New Roman" w:cs="Times New Roman"/>
          <w:sz w:val="18"/>
          <w:szCs w:val="18"/>
        </w:rPr>
        <w:t xml:space="preserve"> </w:t>
      </w:r>
      <w:proofErr w:type="gramStart"/>
      <w:r w:rsidRPr="00ED4FA1">
        <w:rPr>
          <w:rFonts w:ascii="Times New Roman" w:eastAsia="ヒラギノ明朝 Pro W3" w:hAnsi="Times New Roman" w:cs="Times New Roman"/>
          <w:sz w:val="18"/>
          <w:szCs w:val="18"/>
        </w:rPr>
        <w:t>16/3/2006</w:t>
      </w:r>
      <w:proofErr w:type="gramEnd"/>
      <w:r w:rsidRPr="00ED4FA1">
        <w:rPr>
          <w:rFonts w:ascii="Times New Roman" w:eastAsia="ヒラギノ明朝 Pro W3" w:hAnsi="Times New Roman" w:cs="Times New Roman"/>
          <w:sz w:val="18"/>
          <w:szCs w:val="18"/>
        </w:rPr>
        <w:t xml:space="preserve"> tarihli ve 26110 sayılı Resmî Gazete’de yayımlanan 25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Satış Amaçlı Elde Tutulan Duran Varlıklar ve Durdurulan Faaliyetlere İlişkin Türkiye Finansal Raporlama Standardı (TFRS 5) Hakkında Tebliğin ekinde yer alan “TFRS 5 Satış Amaçlı Elde Tutulan Duran Varlıklar ve Durdurulan Faaliyetler”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33A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“33A. TMS 1’in (Haziran 2012'de değişikliğe uğrayan) 10A Paragrafında belirtildiği üzere işletmenin kâr veya zarar kalemlerini ayrı bir tabloda sunması durumunda, durdurulan faaliyetlerle ilgili olarak tanımlanan bölüm bu tabloda gösterilir.”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44G Paragrafından sonra gelmek üzere aşağıda yer alan 44H ve 44I Paragrafları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“44H. “-””</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“44I. Diğer kapsamlı gelir kalemlerinin sunumuna ilişkin TMS 1’de yapılan değişiklikler ile 33A Paragrafı değiştirilmiştir. TMS 1’de yapılan bu değişiklikler uygulandığında, TFRS 5’te yapılan söz konusu değişiklik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MADDE 4 –</w:t>
      </w:r>
      <w:r w:rsidRPr="00ED4FA1">
        <w:rPr>
          <w:rFonts w:ascii="Times New Roman" w:eastAsia="ヒラギノ明朝 Pro W3" w:hAnsi="Times New Roman" w:cs="Times New Roman"/>
          <w:sz w:val="18"/>
          <w:szCs w:val="18"/>
        </w:rPr>
        <w:t xml:space="preserve"> </w:t>
      </w:r>
      <w:proofErr w:type="gramStart"/>
      <w:r w:rsidRPr="00ED4FA1">
        <w:rPr>
          <w:rFonts w:ascii="Times New Roman" w:eastAsia="ヒラギノ明朝 Pro W3" w:hAnsi="Times New Roman" w:cs="Times New Roman"/>
          <w:sz w:val="18"/>
          <w:szCs w:val="18"/>
        </w:rPr>
        <w:t>30/1/2007</w:t>
      </w:r>
      <w:proofErr w:type="gramEnd"/>
      <w:r w:rsidRPr="00ED4FA1">
        <w:rPr>
          <w:rFonts w:ascii="Times New Roman" w:eastAsia="ヒラギノ明朝 Pro W3" w:hAnsi="Times New Roman" w:cs="Times New Roman"/>
          <w:sz w:val="18"/>
          <w:szCs w:val="18"/>
        </w:rPr>
        <w:t xml:space="preserve"> tarihli ve 26419 sayılı Resmî Gazete’de yayımlanan 42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Finansal Araçlar: Açıklamalara İlişkin Türkiye Finansal Raporlama Standardı (TFRS 7) Hakkında Tebliğin ekinde yer alan “TFRS 7 Finansal Araçlar: Açıklamalar”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27B Paragrafının (c) bendinin (i) alt bendi ile (d) bendi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“(i) Kâr veya zararda muhasebeleştirilmiş, döneme ilişkin toplam kazanç veya kayıp tutarı ile bu tutarların kâr veya zarar ve diğer kapsamlı gelir tablosunun (veya tablolarının) neresinde gösterildiğine ilişkin bir açıklama;”</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D4FA1">
        <w:rPr>
          <w:rFonts w:ascii="Times New Roman" w:eastAsia="ヒラギノ明朝 Pro W3" w:hAnsi="Times New Roman" w:cs="Times New Roman"/>
          <w:sz w:val="18"/>
          <w:szCs w:val="18"/>
        </w:rPr>
        <w:t>“(d) (c) bendinin (i) alt bendinde belirtilen, kâr veya zararda muhasebeleştirilmiş döneme ilişkin toplam kazanç veya kayıp tutarının; raporlama döneminin sonu itibariyle elde tutulan varlık ve borçlara ilişkin kazanç veya kayıplarla ilişkilendirilebilen kısmı ile söz konusu tutarın kâr veya zarar ve diğer kapsamlı gelir tablosunun (veya tablolarının) neresinde gösterildiğine ilişkin bir açıklama.”</w:t>
      </w:r>
      <w:proofErr w:type="gramEnd"/>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44O Paragrafından sonra gelmek üzere aşağıda yer alan 44P Paragrafı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“44P. Diğer kapsamlı gelir kalemlerinin sunumuna ilişkin TMS 1’de yapılan değişiklikler ile 27B Paragrafı değiştirilmiştir. TMS 1’de yapılan bu değişiklikler uygulandığında, TFRS 7’de yapılan söz konusu değişiklik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MADDE 5 –</w:t>
      </w:r>
      <w:r w:rsidRPr="00ED4FA1">
        <w:rPr>
          <w:rFonts w:ascii="Times New Roman" w:eastAsia="ヒラギノ明朝 Pro W3" w:hAnsi="Times New Roman" w:cs="Times New Roman"/>
          <w:sz w:val="18"/>
          <w:szCs w:val="18"/>
        </w:rPr>
        <w:t xml:space="preserve"> </w:t>
      </w:r>
      <w:proofErr w:type="gramStart"/>
      <w:r w:rsidRPr="00ED4FA1">
        <w:rPr>
          <w:rFonts w:ascii="Times New Roman" w:eastAsia="ヒラギノ明朝 Pro W3" w:hAnsi="Times New Roman" w:cs="Times New Roman"/>
          <w:sz w:val="18"/>
          <w:szCs w:val="18"/>
        </w:rPr>
        <w:t>28/3/2006</w:t>
      </w:r>
      <w:proofErr w:type="gramEnd"/>
      <w:r w:rsidRPr="00ED4FA1">
        <w:rPr>
          <w:rFonts w:ascii="Times New Roman" w:eastAsia="ヒラギノ明朝 Pro W3" w:hAnsi="Times New Roman" w:cs="Times New Roman"/>
          <w:sz w:val="18"/>
          <w:szCs w:val="18"/>
        </w:rPr>
        <w:t xml:space="preserve"> tarihli ve 26122 sayılı Resmî Gazete’de yayımlanan 31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Gelir Vergilerine İlişkin Türkiye Muhasebe Standardı (TMS 12) Hakkında Tebliğin ekinde yer alan “TMS 12 Gelir Vergileri”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(a) 77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“77. Olağan faaliyet kârı (zararı) ile ilgili vergi gideri (geliri) kâr veya zararın bir parçası olarak kâr veya zarar ve diğer kapsamlı gelir tablosunda (veya tablolarında) sunulur.”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77A Paragrafı yürürlükten kaldırılmıştır.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(c) 98A Paragrafından sonra gelmek üzere aşağıda yer alan 98B Paragrafı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“98B. Diğer kapsamlı gelir kalemlerinin sunumuna ilişkin TMS 1’de yapılan değişiklikler ile 77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 değiştirilmiş, 77A Paragrafı silinmiştir. TMS 1’de yapılan bu değişiklikler uygulandığında, TMS 12’de yapılan söz konusu değişiklikler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MADDE 6 –</w:t>
      </w:r>
      <w:r w:rsidRPr="00ED4FA1">
        <w:rPr>
          <w:rFonts w:ascii="Times New Roman" w:eastAsia="ヒラギノ明朝 Pro W3" w:hAnsi="Times New Roman" w:cs="Times New Roman"/>
          <w:sz w:val="18"/>
          <w:szCs w:val="18"/>
        </w:rPr>
        <w:t xml:space="preserve"> </w:t>
      </w:r>
      <w:proofErr w:type="gramStart"/>
      <w:r w:rsidRPr="00ED4FA1">
        <w:rPr>
          <w:rFonts w:ascii="Times New Roman" w:eastAsia="ヒラギノ明朝 Pro W3" w:hAnsi="Times New Roman" w:cs="Times New Roman"/>
          <w:sz w:val="18"/>
          <w:szCs w:val="18"/>
        </w:rPr>
        <w:t>1/11/2005</w:t>
      </w:r>
      <w:proofErr w:type="gramEnd"/>
      <w:r w:rsidRPr="00ED4FA1">
        <w:rPr>
          <w:rFonts w:ascii="Times New Roman" w:eastAsia="ヒラギノ明朝 Pro W3" w:hAnsi="Times New Roman" w:cs="Times New Roman"/>
          <w:sz w:val="18"/>
          <w:szCs w:val="18"/>
        </w:rPr>
        <w:t xml:space="preserve"> tarihli ve 25983 sayılı Resmî Gazete’de yayımlanan 8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Devlet Teşviklerinin Muhasebeleştirilmesi ve Devlet Yardımlarının Açıklanmasına İlişkin Türkiye Muhasebe Standardı (TMS 20) Hakkında Tebliğin ekinde yer alan “TMS 20 Devlet Teşviklerinin Muhasebeleştirilmesi ve Devlet Yardımlarının Açıklanması”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29 uncu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“29. Gelire ilişkin teşvikler kâr veya zararın bir parçası olarak ayrı bir şekilde veya “Diğer Gelirler” genel başlığı altında, alternatif olarak da ilgili giderlerden düşülerek gösterilir.”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29A Paragrafı yürürlükten kaldırılmıştır.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(c) 44 üncü Paragrafından sonra gelmek üzere aşağıda yer alan 45 ve 46 </w:t>
      </w:r>
      <w:proofErr w:type="spellStart"/>
      <w:r w:rsidRPr="00ED4FA1">
        <w:rPr>
          <w:rFonts w:ascii="Times New Roman" w:eastAsia="ヒラギノ明朝 Pro W3" w:hAnsi="Times New Roman" w:cs="Times New Roman"/>
          <w:sz w:val="18"/>
          <w:szCs w:val="18"/>
        </w:rPr>
        <w:t>ncı</w:t>
      </w:r>
      <w:proofErr w:type="spellEnd"/>
      <w:r w:rsidRPr="00ED4FA1">
        <w:rPr>
          <w:rFonts w:ascii="Times New Roman" w:eastAsia="ヒラギノ明朝 Pro W3" w:hAnsi="Times New Roman" w:cs="Times New Roman"/>
          <w:sz w:val="18"/>
          <w:szCs w:val="18"/>
        </w:rPr>
        <w:t xml:space="preserve"> Paragraflar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“45. “-””</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“46. Diğer kapsamlı gelir kalemlerinin sunumuna ilişkin TMS 1’de yapılan değişiklikler ile 29 uncu Paragraf değiştirilmiş, 29A Paragrafı silinmiştir. TMS 1’de yapılan bu değişiklikler uygulandığında, TMS 20’de yapılan söz konusu değişiklikler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MADDE 7 –</w:t>
      </w:r>
      <w:r w:rsidRPr="00ED4FA1">
        <w:rPr>
          <w:rFonts w:ascii="Times New Roman" w:eastAsia="ヒラギノ明朝 Pro W3" w:hAnsi="Times New Roman" w:cs="Times New Roman"/>
          <w:sz w:val="18"/>
          <w:szCs w:val="18"/>
        </w:rPr>
        <w:t xml:space="preserve"> </w:t>
      </w:r>
      <w:proofErr w:type="gramStart"/>
      <w:r w:rsidRPr="00ED4FA1">
        <w:rPr>
          <w:rFonts w:ascii="Times New Roman" w:eastAsia="ヒラギノ明朝 Pro W3" w:hAnsi="Times New Roman" w:cs="Times New Roman"/>
          <w:sz w:val="18"/>
          <w:szCs w:val="18"/>
        </w:rPr>
        <w:t>31/12/2005</w:t>
      </w:r>
      <w:proofErr w:type="gramEnd"/>
      <w:r w:rsidRPr="00ED4FA1">
        <w:rPr>
          <w:rFonts w:ascii="Times New Roman" w:eastAsia="ヒラギノ明朝 Pro W3" w:hAnsi="Times New Roman" w:cs="Times New Roman"/>
          <w:sz w:val="18"/>
          <w:szCs w:val="18"/>
        </w:rPr>
        <w:t xml:space="preserve"> tarihli ve 26040 sayılı Resmî Gazete’de yayımlanan 13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Kur Değişiminin Etkilerine İlişkin Türkiye Muhasebe Standardı (TMS 21) Hakkında Tebliğin ekinde yer alan “TMS 21 Kur Değişiminin Etkileri”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39 uncu Paragrafının (b) bendi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Gelire ilişkin teşvikler kâr veya zararın bir parçası olarak ayrı bir şekilde veya “Diğer Gelirler” genel başlığı altında, alternatif olarak da ilgili giderlerden düşülerek gösterilir.”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60F Paragrafından sonra gelmek üzere aşağıda yer alan 60G ve 60H Paragrafları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“60G. “-””</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lastRenderedPageBreak/>
        <w:t>“60H. Diğer kapsamlı gelir kalemlerinin sunumuna ilişkin TMS 1’de yapılan değişiklikler ile 39 uncu Paragraf değiştirilmiştir. TMS 1’de yapılan bu değişiklikler uygulandığında, TMS 21’de yapılan söz konusu değişiklik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MADDE 8 –</w:t>
      </w:r>
      <w:r w:rsidRPr="00ED4FA1">
        <w:rPr>
          <w:rFonts w:ascii="Times New Roman" w:eastAsia="ヒラギノ明朝 Pro W3" w:hAnsi="Times New Roman" w:cs="Times New Roman"/>
          <w:sz w:val="18"/>
          <w:szCs w:val="18"/>
        </w:rPr>
        <w:t xml:space="preserve"> </w:t>
      </w:r>
      <w:proofErr w:type="gramStart"/>
      <w:r w:rsidRPr="00ED4FA1">
        <w:rPr>
          <w:rFonts w:ascii="Times New Roman" w:eastAsia="ヒラギノ明朝 Pro W3" w:hAnsi="Times New Roman" w:cs="Times New Roman"/>
          <w:sz w:val="18"/>
          <w:szCs w:val="18"/>
        </w:rPr>
        <w:t>28/10/2006</w:t>
      </w:r>
      <w:proofErr w:type="gramEnd"/>
      <w:r w:rsidRPr="00ED4FA1">
        <w:rPr>
          <w:rFonts w:ascii="Times New Roman" w:eastAsia="ヒラギノ明朝 Pro W3" w:hAnsi="Times New Roman" w:cs="Times New Roman"/>
          <w:sz w:val="18"/>
          <w:szCs w:val="18"/>
        </w:rPr>
        <w:t xml:space="preserve"> tarihli ve 26330 sayılı Resmî Gazete’de yayımlanan 40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Finansal Araçlar: Sunuma İlişkin Türkiye Muhasebe Standardı (TMS 32) Hakkında Tebliğin ekinde yer alan “TMS 32 Finansal Araçlar: Sunum”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(a) 40 </w:t>
      </w:r>
      <w:proofErr w:type="spellStart"/>
      <w:r w:rsidRPr="00ED4FA1">
        <w:rPr>
          <w:rFonts w:ascii="Times New Roman" w:eastAsia="ヒラギノ明朝 Pro W3" w:hAnsi="Times New Roman" w:cs="Times New Roman"/>
          <w:sz w:val="18"/>
          <w:szCs w:val="18"/>
        </w:rPr>
        <w:t>ıncı</w:t>
      </w:r>
      <w:proofErr w:type="spellEnd"/>
      <w:r w:rsidRPr="00ED4FA1">
        <w:rPr>
          <w:rFonts w:ascii="Times New Roman" w:eastAsia="ヒラギノ明朝 Pro W3" w:hAnsi="Times New Roman" w:cs="Times New Roman"/>
          <w:sz w:val="18"/>
          <w:szCs w:val="18"/>
        </w:rPr>
        <w:t xml:space="preserve">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“40. Gider olarak sınıflandırılmış temettüler, kâr veya zarar ve diğer kapsamlı gelir tablosunda (veya tablolarında), diğer borçların faizleri ile birlikte veya ayrı bir kalem olarak gösterilebilir. Bu Standart hükümlerine ek olarak, faiz ve temettülerin kamuoyuna açıklanması konusunda TMS 1 ve TFRS 7 hükümleri de dikkate alınır. Bazı durumlarda, vergisel uygulamadaki farklılıklar nedeniyle faiz ve temettülerin kâr veya zarar ve diğer kapsamlı gelir tablosunda (veya tablolarında), ayrı </w:t>
      </w:r>
      <w:proofErr w:type="spellStart"/>
      <w:r w:rsidRPr="00ED4FA1">
        <w:rPr>
          <w:rFonts w:ascii="Times New Roman" w:eastAsia="ヒラギノ明朝 Pro W3" w:hAnsi="Times New Roman" w:cs="Times New Roman"/>
          <w:sz w:val="18"/>
          <w:szCs w:val="18"/>
        </w:rPr>
        <w:t>ayrı</w:t>
      </w:r>
      <w:proofErr w:type="spellEnd"/>
      <w:r w:rsidRPr="00ED4FA1">
        <w:rPr>
          <w:rFonts w:ascii="Times New Roman" w:eastAsia="ヒラギノ明朝 Pro W3" w:hAnsi="Times New Roman" w:cs="Times New Roman"/>
          <w:sz w:val="18"/>
          <w:szCs w:val="18"/>
        </w:rPr>
        <w:t xml:space="preserve"> kamuoyuna açıklanması tercih edilebilir. Vergi etkilerine ilişkin açıklamalar TMS 12 uyarınca yapılır.”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97I Paragrafından sonra gelmek üzere aşağıda yer alan 97J ve 97K Paragrafları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“97J. “-””</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“97K. Diğer kapsamlı gelir kalemlerinin sunumuna ilişkin TMS 1’de yapılan değişiklikler ile 40 </w:t>
      </w:r>
      <w:proofErr w:type="spellStart"/>
      <w:r w:rsidRPr="00ED4FA1">
        <w:rPr>
          <w:rFonts w:ascii="Times New Roman" w:eastAsia="ヒラギノ明朝 Pro W3" w:hAnsi="Times New Roman" w:cs="Times New Roman"/>
          <w:sz w:val="18"/>
          <w:szCs w:val="18"/>
        </w:rPr>
        <w:t>ıncı</w:t>
      </w:r>
      <w:proofErr w:type="spellEnd"/>
      <w:r w:rsidRPr="00ED4FA1">
        <w:rPr>
          <w:rFonts w:ascii="Times New Roman" w:eastAsia="ヒラギノ明朝 Pro W3" w:hAnsi="Times New Roman" w:cs="Times New Roman"/>
          <w:sz w:val="18"/>
          <w:szCs w:val="18"/>
        </w:rPr>
        <w:t xml:space="preserve"> Paragraf değiştirilmiştir. TMS 1’de yapılan bu değişiklikler uygulandığında, TMS 32’de yapılan söz konusu değişiklik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 xml:space="preserve">MADDE 9 – </w:t>
      </w:r>
      <w:proofErr w:type="gramStart"/>
      <w:r w:rsidRPr="00ED4FA1">
        <w:rPr>
          <w:rFonts w:ascii="Times New Roman" w:eastAsia="ヒラギノ明朝 Pro W3" w:hAnsi="Times New Roman" w:cs="Times New Roman"/>
          <w:sz w:val="18"/>
          <w:szCs w:val="18"/>
        </w:rPr>
        <w:t>28/3/2006</w:t>
      </w:r>
      <w:proofErr w:type="gramEnd"/>
      <w:r w:rsidRPr="00ED4FA1">
        <w:rPr>
          <w:rFonts w:ascii="Times New Roman" w:eastAsia="ヒラギノ明朝 Pro W3" w:hAnsi="Times New Roman" w:cs="Times New Roman"/>
          <w:sz w:val="18"/>
          <w:szCs w:val="18"/>
        </w:rPr>
        <w:t xml:space="preserve"> tarihli ve 26122 sayılı Resmî Gazete’de yayımlanan 32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Hisse Başına Kazanca İlişkin Türkiye Muhasebe Standardı (TMS 33) Hakkında Tebliğin ekinde yer alan “TMS 33 Hisse Başına Kazanç”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4A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“4A. “TMS 1 Finansal Tabloların Sunuluşu”nun (Haziran 2012’de değişikliğe uğrayan) 10A Paragrafında belirtildiği üzere işletmenin kâr veya zarar kalemlerini ayrı bir tabloda sunması durumunda, hisse başına kazançlar sadece bu tabloda sunulur.”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67A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“67A. TMS 1’in (Haziran 2012’de değişikliğe uğrayan) 10A Paragrafında belirtildiği üzere işletmenin kâr veya zarar kalemlerini ayrı bir tabloda sunması durumunda, adi ve sulandırılmış hisse başına kazanç 66 ve 67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Paragraflar uyarınca sadece bu tabloda sunulur.”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(c) 68A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“68A. TMS 1’in (Haziran 2012’de değişikliğe uğrayan) 10A Paragrafında belirtildiği üzere işletmenin kâr veya zarar kalemlerini ayrı bir tabloda sunması durumunda, durdurulan faaliyetlere ilişkin adi ve sulandırılmış hisse başına kazanç 68 inci Paragraf uyarınca bu tabloda veya dipnotlarda sunulur.”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(ç) 73A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“73A. 73 üncü Paragraf aynı zamanda, adi ve sulandırılmış hisse başına kazanç tutarlarına ek olarak, raporlanan bir kâr veya zarar kalemini kullanarak bu Standarda göre açıklanması zorunlu olanlar dışında hisse başına tutarlar açıklayan bir işletmeye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(d) 74B Paragrafından sonra gelmek üzere aşağıda yer alan 74C ve 74D Paragrafları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“74C. “-””</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“74D. Diğer kapsamlı gelir kalemlerinin sunumuna ilişkin TMS 1’de yapılan değişiklikler ile 4A, 67A, 68A ve 73A Paragrafları değiştirilmiştir. TMS 1’de yapılan bu değişiklikler uygulandığında, TMS 33’te yapılan söz konusu değişiklikler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MADDE 10 –</w:t>
      </w:r>
      <w:r w:rsidRPr="00ED4FA1">
        <w:rPr>
          <w:rFonts w:ascii="Times New Roman" w:eastAsia="ヒラギノ明朝 Pro W3" w:hAnsi="Times New Roman" w:cs="Times New Roman"/>
          <w:sz w:val="18"/>
          <w:szCs w:val="18"/>
        </w:rPr>
        <w:t xml:space="preserve"> </w:t>
      </w:r>
      <w:proofErr w:type="gramStart"/>
      <w:r w:rsidRPr="00ED4FA1">
        <w:rPr>
          <w:rFonts w:ascii="Times New Roman" w:eastAsia="ヒラギノ明朝 Pro W3" w:hAnsi="Times New Roman" w:cs="Times New Roman"/>
          <w:sz w:val="18"/>
          <w:szCs w:val="18"/>
        </w:rPr>
        <w:t>2/2/2006</w:t>
      </w:r>
      <w:proofErr w:type="gramEnd"/>
      <w:r w:rsidRPr="00ED4FA1">
        <w:rPr>
          <w:rFonts w:ascii="Times New Roman" w:eastAsia="ヒラギノ明朝 Pro W3" w:hAnsi="Times New Roman" w:cs="Times New Roman"/>
          <w:sz w:val="18"/>
          <w:szCs w:val="18"/>
        </w:rPr>
        <w:t xml:space="preserve"> tarihli ve 26068 sayılı Resmî Gazete’de yayımlanan 19 Sıra </w:t>
      </w:r>
      <w:proofErr w:type="spellStart"/>
      <w:r w:rsidRPr="00ED4FA1">
        <w:rPr>
          <w:rFonts w:ascii="Times New Roman" w:eastAsia="ヒラギノ明朝 Pro W3" w:hAnsi="Times New Roman" w:cs="Times New Roman"/>
          <w:sz w:val="18"/>
          <w:szCs w:val="18"/>
        </w:rPr>
        <w:t>no’lu</w:t>
      </w:r>
      <w:proofErr w:type="spellEnd"/>
      <w:r w:rsidRPr="00ED4FA1">
        <w:rPr>
          <w:rFonts w:ascii="Times New Roman" w:eastAsia="ヒラギノ明朝 Pro W3" w:hAnsi="Times New Roman" w:cs="Times New Roman"/>
          <w:sz w:val="18"/>
          <w:szCs w:val="18"/>
        </w:rPr>
        <w:t xml:space="preserve"> Ara Dönem Finansal Raporlamaya İlişkin Türkiye Muhasebe Standardı (TMS 34) Hakkında Tebliğin ekinde yer alan “TMS 34 Ara Dönem Finansal Raporlama” Standardının;</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(a) 8 inci Paragrafının (b) bendi aşağıdaki şekilde değiştirilmiş; aynı bendin (i) ve (</w:t>
      </w:r>
      <w:proofErr w:type="spellStart"/>
      <w:r w:rsidRPr="00ED4FA1">
        <w:rPr>
          <w:rFonts w:ascii="Times New Roman" w:eastAsia="ヒラギノ明朝 Pro W3" w:hAnsi="Times New Roman" w:cs="Times New Roman"/>
          <w:sz w:val="18"/>
          <w:szCs w:val="18"/>
        </w:rPr>
        <w:t>ii</w:t>
      </w:r>
      <w:proofErr w:type="spellEnd"/>
      <w:r w:rsidRPr="00ED4FA1">
        <w:rPr>
          <w:rFonts w:ascii="Times New Roman" w:eastAsia="ヒラギノ明朝 Pro W3" w:hAnsi="Times New Roman" w:cs="Times New Roman"/>
          <w:sz w:val="18"/>
          <w:szCs w:val="18"/>
        </w:rPr>
        <w:t>) alt bentleri yürürlükten kaldırılmıştır.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Özet kâr veya zarar ve diğer kapsamlı gelir tablosu veya tabloları,</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(b) 8A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“8A. TMS 1’in (Haziran 2012’de değişikliğe uğrayan) 10A Paragrafında belirtildiği üzere işletmenin kâr veya zarar kalemlerini ayrı bir tabloda sunması durumunda, ara dönem özet bilgi bu tabloyla sunulur.”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(c) 11A Paragrafı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“11A. TMS 1’in (Haziran 2012’de değişikliğe uğrayan) 10A Paragrafında belirtildiği üzere işletmenin kâr veya zarar kalemlerini ayrı bir tabloda sunması durumunda, adi ve sulandırılmış hisse başına kazanç tutarları bu tabloda sunulur.”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(ç) 20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Paragrafının (b) bendi aşağıdaki şekilde değiştirilmiştir.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“(b) Cari ara döneme ilişkin kâr veya zarar ve diğer kapsamlı gelir tablosu (veya tabloları) ve cari yıla ilişkin hesap dönemi başından ara dönem sonuna kadar </w:t>
      </w:r>
      <w:proofErr w:type="gramStart"/>
      <w:r w:rsidRPr="00ED4FA1">
        <w:rPr>
          <w:rFonts w:ascii="Times New Roman" w:eastAsia="ヒラギノ明朝 Pro W3" w:hAnsi="Times New Roman" w:cs="Times New Roman"/>
          <w:sz w:val="18"/>
          <w:szCs w:val="18"/>
        </w:rPr>
        <w:t>kümülatif</w:t>
      </w:r>
      <w:proofErr w:type="gramEnd"/>
      <w:r w:rsidRPr="00ED4FA1">
        <w:rPr>
          <w:rFonts w:ascii="Times New Roman" w:eastAsia="ヒラギノ明朝 Pro W3" w:hAnsi="Times New Roman" w:cs="Times New Roman"/>
          <w:sz w:val="18"/>
          <w:szCs w:val="18"/>
        </w:rPr>
        <w:t xml:space="preserve"> bilgileri içeren kâr veya zarar ve diğer kapsamlı gelir tablosu (veya tabloları) ile aynı ara dönemlere ilişkin karşılaştırmalı bilgilerin sunulduğu kâr veya zarar ve diğer kapsamlı gelir tabloları (hem cari döneme ilişkin hem de cari yıla ilişkin hesap dönemi başından ara dönem sonuna kadar kümülatif bilgileri içeren tabloları). TMS 1’de (Haziran 2012’de değişikliğe uğrayan) izin verildiği üzere, bir ara dönem raporda, her bir dönem için tek bir kâr veya zarar ve diğer kapsamlı gelir tablosu ya da kâr veya zarar ve diğer kapsamlı gelir tabloları sunulabilir;”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lastRenderedPageBreak/>
        <w:t>(d) 49 uncu Paragrafından sonra gelmek üzere aşağıda yer alan 50 ve 51 inci Paragraflar eklenmiştir.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“50. “-””</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sz w:val="18"/>
          <w:szCs w:val="18"/>
        </w:rPr>
        <w:t xml:space="preserve">“51. Diğer kapsamlı gelir kalemlerinin sunumuna ilişkin TMS 1’de yapılan değişiklikler ile 8, 8A, 11A ve 20 </w:t>
      </w:r>
      <w:proofErr w:type="spellStart"/>
      <w:r w:rsidRPr="00ED4FA1">
        <w:rPr>
          <w:rFonts w:ascii="Times New Roman" w:eastAsia="ヒラギノ明朝 Pro W3" w:hAnsi="Times New Roman" w:cs="Times New Roman"/>
          <w:sz w:val="18"/>
          <w:szCs w:val="18"/>
        </w:rPr>
        <w:t>nci</w:t>
      </w:r>
      <w:proofErr w:type="spellEnd"/>
      <w:r w:rsidRPr="00ED4FA1">
        <w:rPr>
          <w:rFonts w:ascii="Times New Roman" w:eastAsia="ヒラギノ明朝 Pro W3" w:hAnsi="Times New Roman" w:cs="Times New Roman"/>
          <w:sz w:val="18"/>
          <w:szCs w:val="18"/>
        </w:rPr>
        <w:t xml:space="preserve"> Paragraflar değiştirilmiştir. TMS 1’de yapılan bu değişiklikler uygulandığında, TMS 34’te yapılan söz konusu değişiklikler de uygulanır.”</w:t>
      </w:r>
    </w:p>
    <w:p w:rsidR="00ED4FA1" w:rsidRPr="00ED4FA1" w:rsidRDefault="00ED4FA1" w:rsidP="00ED4FA1">
      <w:pPr>
        <w:tabs>
          <w:tab w:val="left" w:pos="566"/>
        </w:tabs>
        <w:spacing w:after="0" w:line="240" w:lineRule="exact"/>
        <w:ind w:firstLine="566"/>
        <w:jc w:val="both"/>
        <w:rPr>
          <w:rFonts w:ascii="Times New Roman" w:eastAsia="ヒラギノ明朝 Pro W3" w:hAnsi="Times New Roman" w:cs="Times New Roman"/>
          <w:sz w:val="18"/>
          <w:szCs w:val="18"/>
        </w:rPr>
      </w:pPr>
      <w:r w:rsidRPr="00ED4FA1">
        <w:rPr>
          <w:rFonts w:ascii="Times New Roman" w:eastAsia="ヒラギノ明朝 Pro W3" w:hAnsi="Times New Roman" w:cs="Times New Roman"/>
          <w:b/>
          <w:sz w:val="18"/>
          <w:szCs w:val="18"/>
        </w:rPr>
        <w:t>MADDE 11 –</w:t>
      </w:r>
      <w:r w:rsidRPr="00ED4FA1">
        <w:rPr>
          <w:rFonts w:ascii="Times New Roman" w:eastAsia="ヒラギノ明朝 Pro W3" w:hAnsi="Times New Roman" w:cs="Times New Roman"/>
          <w:sz w:val="18"/>
          <w:szCs w:val="18"/>
        </w:rPr>
        <w:t xml:space="preserve"> Bu Tebliğ </w:t>
      </w:r>
      <w:proofErr w:type="gramStart"/>
      <w:r w:rsidRPr="00ED4FA1">
        <w:rPr>
          <w:rFonts w:ascii="Times New Roman" w:eastAsia="ヒラギノ明朝 Pro W3" w:hAnsi="Times New Roman" w:cs="Times New Roman"/>
          <w:sz w:val="18"/>
          <w:szCs w:val="18"/>
        </w:rPr>
        <w:t>30/6/2012</w:t>
      </w:r>
      <w:proofErr w:type="gramEnd"/>
      <w:r w:rsidRPr="00ED4FA1">
        <w:rPr>
          <w:rFonts w:ascii="Times New Roman" w:eastAsia="ヒラギノ明朝 Pro W3" w:hAnsi="Times New Roman" w:cs="Times New Roman"/>
          <w:sz w:val="18"/>
          <w:szCs w:val="18"/>
        </w:rPr>
        <w:t xml:space="preserve"> tarihinden sonra başlayan hesap dönemleri için geçerli olmak üzere yayımlandığı tarihte yürürlüğe girer. İsteyen işletmeler bu Tebliği </w:t>
      </w:r>
      <w:proofErr w:type="gramStart"/>
      <w:r w:rsidRPr="00ED4FA1">
        <w:rPr>
          <w:rFonts w:ascii="Times New Roman" w:eastAsia="ヒラギノ明朝 Pro W3" w:hAnsi="Times New Roman" w:cs="Times New Roman"/>
          <w:sz w:val="18"/>
          <w:szCs w:val="18"/>
        </w:rPr>
        <w:t>1/7/2012</w:t>
      </w:r>
      <w:proofErr w:type="gramEnd"/>
      <w:r w:rsidRPr="00ED4FA1">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ED4FA1" w:rsidRPr="00ED4FA1" w:rsidRDefault="00ED4FA1" w:rsidP="00ED4FA1">
      <w:pPr>
        <w:tabs>
          <w:tab w:val="left" w:pos="566"/>
        </w:tabs>
        <w:spacing w:after="0" w:line="240" w:lineRule="exact"/>
        <w:ind w:firstLine="566"/>
        <w:jc w:val="both"/>
        <w:rPr>
          <w:rFonts w:ascii="Times New Roman" w:eastAsia="ヒラギノ明朝Pro W3" w:hAnsi="Times New Roman" w:cs="Times New Roman"/>
          <w:b/>
          <w:sz w:val="18"/>
          <w:szCs w:val="20"/>
        </w:rPr>
      </w:pPr>
      <w:r w:rsidRPr="00ED4FA1">
        <w:rPr>
          <w:rFonts w:ascii="Times New Roman" w:eastAsia="ヒラギノ明朝 Pro W3" w:hAnsi="Times New Roman" w:cs="Times New Roman"/>
          <w:b/>
          <w:sz w:val="18"/>
          <w:szCs w:val="18"/>
        </w:rPr>
        <w:t>MADDE 12 –</w:t>
      </w:r>
      <w:r w:rsidRPr="00ED4FA1">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ED4FA1" w:rsidRPr="00CF2D7A" w:rsidRDefault="00ED4FA1" w:rsidP="00F17BB7">
      <w:pPr>
        <w:spacing w:after="0" w:line="300" w:lineRule="atLeast"/>
        <w:jc w:val="right"/>
        <w:rPr>
          <w:rFonts w:ascii="Times New Roman" w:eastAsia="Times New Roman" w:hAnsi="Times New Roman" w:cs="Times New Roman"/>
          <w:sz w:val="20"/>
          <w:szCs w:val="20"/>
          <w:lang w:eastAsia="tr-TR"/>
        </w:rPr>
      </w:pPr>
    </w:p>
    <w:sectPr w:rsidR="00ED4FA1"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charset w:val="80"/>
    <w:family w:val="auto"/>
    <w:pitch w:val="variable"/>
    <w:sig w:usb0="00000001" w:usb1="08070000" w:usb2="0100041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C3900"/>
    <w:rsid w:val="000D551C"/>
    <w:rsid w:val="000E7387"/>
    <w:rsid w:val="00107244"/>
    <w:rsid w:val="001320F3"/>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5F3296"/>
    <w:rsid w:val="006241F8"/>
    <w:rsid w:val="00627628"/>
    <w:rsid w:val="006415B4"/>
    <w:rsid w:val="00653C6B"/>
    <w:rsid w:val="006E2913"/>
    <w:rsid w:val="00716CA8"/>
    <w:rsid w:val="00723DE2"/>
    <w:rsid w:val="00756AE6"/>
    <w:rsid w:val="007616B2"/>
    <w:rsid w:val="007D3A13"/>
    <w:rsid w:val="007F3656"/>
    <w:rsid w:val="008323BF"/>
    <w:rsid w:val="008628D5"/>
    <w:rsid w:val="00910ABC"/>
    <w:rsid w:val="00921161"/>
    <w:rsid w:val="00935012"/>
    <w:rsid w:val="009729EE"/>
    <w:rsid w:val="009A3F85"/>
    <w:rsid w:val="009A6044"/>
    <w:rsid w:val="009C7909"/>
    <w:rsid w:val="009F4A7B"/>
    <w:rsid w:val="00A36600"/>
    <w:rsid w:val="00A77DDB"/>
    <w:rsid w:val="00A8408E"/>
    <w:rsid w:val="00AD2E8D"/>
    <w:rsid w:val="00AD42C3"/>
    <w:rsid w:val="00AF0ED2"/>
    <w:rsid w:val="00B0678C"/>
    <w:rsid w:val="00B14E0E"/>
    <w:rsid w:val="00B861C0"/>
    <w:rsid w:val="00BD25BC"/>
    <w:rsid w:val="00BE27F2"/>
    <w:rsid w:val="00BF0554"/>
    <w:rsid w:val="00C11232"/>
    <w:rsid w:val="00C32A52"/>
    <w:rsid w:val="00CB5187"/>
    <w:rsid w:val="00CD1C13"/>
    <w:rsid w:val="00CD3904"/>
    <w:rsid w:val="00CF07CA"/>
    <w:rsid w:val="00CF2D7A"/>
    <w:rsid w:val="00D20AC6"/>
    <w:rsid w:val="00D439D6"/>
    <w:rsid w:val="00D60BF5"/>
    <w:rsid w:val="00D65D15"/>
    <w:rsid w:val="00D83281"/>
    <w:rsid w:val="00DB51D0"/>
    <w:rsid w:val="00E04371"/>
    <w:rsid w:val="00E27B2A"/>
    <w:rsid w:val="00E30BEE"/>
    <w:rsid w:val="00E471B6"/>
    <w:rsid w:val="00ED4FA1"/>
    <w:rsid w:val="00ED523B"/>
    <w:rsid w:val="00F02AC3"/>
    <w:rsid w:val="00F17BB7"/>
    <w:rsid w:val="00F43558"/>
    <w:rsid w:val="00F840B6"/>
    <w:rsid w:val="00F91DDC"/>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2968</Words>
  <Characters>16920</Characters>
  <Application>Microsoft Office Word</Application>
  <DocSecurity>0</DocSecurity>
  <Lines>141</Lines>
  <Paragraphs>39</Paragraphs>
  <ScaleCrop>false</ScaleCrop>
  <Company>TURMOB</Company>
  <LinksUpToDate>false</LinksUpToDate>
  <CharactersWithSpaces>19849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81</cp:revision>
  <dcterms:created xsi:type="dcterms:W3CDTF">2012-06-01T06:02:00Z</dcterms:created>
  <dcterms:modified xsi:type="dcterms:W3CDTF">2012-06-29T05:30:00Z</dcterms:modified>
</cp:coreProperties>
</file>