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7575E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proofErr w:type="gramEnd"/>
    </w:p>
    <w:p w:rsidR="00811B17" w:rsidRDefault="00811B1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7575E" w:rsidRPr="00F7575E" w:rsidTr="00F7575E">
        <w:trPr>
          <w:jc w:val="center"/>
        </w:trPr>
        <w:tc>
          <w:tcPr>
            <w:tcW w:w="9104" w:type="dxa"/>
            <w:hideMark/>
          </w:tcPr>
          <w:p w:rsidR="00F7575E" w:rsidRPr="00F7575E" w:rsidRDefault="00F7575E" w:rsidP="00F7575E">
            <w:pPr>
              <w:jc w:val="center"/>
              <w:rPr>
                <w:b/>
              </w:rPr>
            </w:pPr>
            <w:r w:rsidRPr="00F7575E">
              <w:rPr>
                <w:b/>
              </w:rPr>
              <w:t>BAKANLAR KURULU KARARI</w:t>
            </w:r>
          </w:p>
          <w:p w:rsidR="00F7575E" w:rsidRDefault="00F7575E"/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F7575E" w:rsidRPr="00F7575E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F7575E" w:rsidRPr="00F7575E" w:rsidRDefault="00F7575E" w:rsidP="00F7575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2012/3378</w:t>
                  </w:r>
                </w:p>
                <w:p w:rsidR="00F7575E" w:rsidRDefault="00F7575E" w:rsidP="00F7575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F7575E" w:rsidRPr="00F7575E" w:rsidRDefault="00F7575E" w:rsidP="00F7575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“8/2/2002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2002/3729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Kararnamenin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3/7/2012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7389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631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Hükmünde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Kararnamenin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14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3/7/2012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F7575E" w:rsidRPr="00F7575E" w:rsidRDefault="00F7575E" w:rsidP="00F7575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F7575E" w:rsidRPr="00F7575E" w:rsidRDefault="00F7575E" w:rsidP="00F7575E">
                  <w:pPr>
                    <w:tabs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r w:rsidRPr="00F7575E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Abdullah GÜL</w:t>
                  </w:r>
                </w:p>
                <w:p w:rsidR="00F7575E" w:rsidRPr="00F7575E" w:rsidRDefault="00F7575E" w:rsidP="00F7575E">
                  <w:pPr>
                    <w:tabs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F7575E" w:rsidRPr="00F7575E" w:rsidRDefault="00F7575E" w:rsidP="00F7575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F7575E" w:rsidRPr="00F7575E" w:rsidRDefault="00F7575E" w:rsidP="00F7575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DİNÇER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ERGİN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ŞAHİN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BAĞIŞ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ERGÜN</w:t>
                  </w:r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H. YAZICI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BAYRAKTAR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Z. ÇAĞLAYAN</w:t>
                  </w:r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KILIÇ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H. YAZICI</w:t>
                  </w:r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N. ŞAHİN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GÜNAY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BAĞIŞ</w:t>
                  </w:r>
                </w:p>
                <w:p w:rsidR="00F7575E" w:rsidRPr="00F7575E" w:rsidRDefault="00F7575E" w:rsidP="00F7575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</w:p>
                <w:p w:rsidR="00F7575E" w:rsidRPr="00F7575E" w:rsidRDefault="00F7575E" w:rsidP="00F7575E">
                  <w:pPr>
                    <w:tabs>
                      <w:tab w:val="center" w:pos="1595"/>
                      <w:tab w:val="center" w:pos="3891"/>
                      <w:tab w:val="center" w:pos="60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DİNÇER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F7575E" w:rsidRPr="00F7575E" w:rsidRDefault="00F7575E" w:rsidP="00F7575E">
                  <w:pPr>
                    <w:tabs>
                      <w:tab w:val="center" w:pos="1595"/>
                      <w:tab w:val="center" w:pos="3891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575E" w:rsidRPr="00F7575E" w:rsidRDefault="00F7575E" w:rsidP="00F7575E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R. AKDAĞ</w:t>
                  </w: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YILDIRIM</w:t>
                  </w:r>
                </w:p>
                <w:p w:rsidR="00F7575E" w:rsidRPr="00F7575E" w:rsidRDefault="00F7575E" w:rsidP="00F7575E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575E" w:rsidRPr="00F7575E" w:rsidRDefault="00F7575E" w:rsidP="00F7575E">
                  <w:pPr>
                    <w:tabs>
                      <w:tab w:val="center" w:pos="1133"/>
                      <w:tab w:val="right" w:pos="6519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9"/>
                      <w:szCs w:val="20"/>
                    </w:rPr>
                  </w:pPr>
                </w:p>
                <w:p w:rsidR="00F7575E" w:rsidRPr="00F7575E" w:rsidRDefault="00F7575E" w:rsidP="00F7575E">
                  <w:pPr>
                    <w:tabs>
                      <w:tab w:val="center" w:pos="1133"/>
                      <w:tab w:val="right" w:pos="6519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8/2/2002</w:t>
                  </w:r>
                  <w:proofErr w:type="gramEnd"/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TAR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HL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2002/3729 SAYILI KARARNAMEN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EK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KARARDA</w:t>
                  </w:r>
                </w:p>
                <w:p w:rsidR="00F7575E" w:rsidRPr="00F7575E" w:rsidRDefault="00F7575E" w:rsidP="00F7575E">
                  <w:pPr>
                    <w:tabs>
                      <w:tab w:val="center" w:pos="1133"/>
                      <w:tab w:val="right" w:pos="6519"/>
                    </w:tabs>
                    <w:spacing w:after="11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757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KARAR</w:t>
                  </w:r>
                </w:p>
                <w:p w:rsidR="00F7575E" w:rsidRPr="00F7575E" w:rsidRDefault="00F7575E" w:rsidP="00F7575E">
                  <w:pPr>
                    <w:tabs>
                      <w:tab w:val="center" w:pos="1133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MADDE 1 –</w:t>
                  </w:r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(1) 8/2/2002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2002/3729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konulan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aşağıdaki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şekilde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değiştirilmiştir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F7575E" w:rsidRPr="00F7575E" w:rsidRDefault="00F7575E" w:rsidP="00F7575E">
                  <w:pPr>
                    <w:tabs>
                      <w:tab w:val="center" w:pos="1133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“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 –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Kapsama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tüm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personel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için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2012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yılının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ikinci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altı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aylık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dönemindeki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ortalama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ücret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toplamı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üst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sınırı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” 7.015 TL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olarak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tespit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edilmiştir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.”</w:t>
                  </w:r>
                </w:p>
                <w:p w:rsidR="00F7575E" w:rsidRPr="00F7575E" w:rsidRDefault="00F7575E" w:rsidP="00F7575E">
                  <w:pPr>
                    <w:tabs>
                      <w:tab w:val="center" w:pos="1133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MADDE 2 –</w:t>
                  </w:r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(1)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Aynı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aşağıdaki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şekilde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değiştirilmiştir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F7575E" w:rsidRPr="00F7575E" w:rsidRDefault="00F7575E" w:rsidP="00F7575E">
                  <w:pPr>
                    <w:tabs>
                      <w:tab w:val="center" w:pos="1133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“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 –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Mevcut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onay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veya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diğer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mevzuat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uyarınca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kapsama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personele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yapılmakta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olan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aynî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/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veya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nakdî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ödeme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unsurlarına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yeni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bir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unsur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ilave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edilmemesi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alan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ortalama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ücret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toplamı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üst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sınırının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aşılmaması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kaydıyla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2012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yılının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ikinci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altı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aylık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döneminde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kapsama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personelin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sosyal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hakları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kurum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içi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hiyerarşik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yapıların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gerektirdiği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ölçüde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mevzuatı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dahilinde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%4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oranına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kadar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yetkili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organlar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tarafından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belirlenecek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oranlarda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artırılabilir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.”</w:t>
                  </w:r>
                </w:p>
                <w:p w:rsidR="00F7575E" w:rsidRPr="00F7575E" w:rsidRDefault="00F7575E" w:rsidP="00F7575E">
                  <w:pPr>
                    <w:tabs>
                      <w:tab w:val="center" w:pos="1133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MADDE 3 –</w:t>
                  </w:r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(1) Bu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1/7/2012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tarihinden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geçerli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olmak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yayımı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girer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F7575E" w:rsidRPr="00F7575E" w:rsidRDefault="00F7575E" w:rsidP="00F7575E">
                  <w:pPr>
                    <w:tabs>
                      <w:tab w:val="center" w:pos="1133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7575E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MADDE 4 –</w:t>
                  </w:r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(1) Bu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hükümlerini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yürütür</w:t>
                  </w:r>
                  <w:proofErr w:type="spellEnd"/>
                  <w:r w:rsidRPr="00F7575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F7575E" w:rsidRPr="00F7575E" w:rsidRDefault="00F7575E" w:rsidP="00F757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F7575E" w:rsidRPr="00F7575E" w:rsidRDefault="00F7575E" w:rsidP="00F7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7575E" w:rsidRPr="00F7575E" w:rsidRDefault="00F7575E" w:rsidP="00F75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206B" w:rsidRDefault="00FD206B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D206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5679D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3E776B"/>
    <w:rsid w:val="00411520"/>
    <w:rsid w:val="00430027"/>
    <w:rsid w:val="0044301A"/>
    <w:rsid w:val="00466F20"/>
    <w:rsid w:val="004756C6"/>
    <w:rsid w:val="004777D0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2333"/>
    <w:rsid w:val="007D3A13"/>
    <w:rsid w:val="007D5AEE"/>
    <w:rsid w:val="007F3656"/>
    <w:rsid w:val="00811B17"/>
    <w:rsid w:val="008323BF"/>
    <w:rsid w:val="008628D5"/>
    <w:rsid w:val="00895980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575E"/>
    <w:rsid w:val="00F77306"/>
    <w:rsid w:val="00F840B6"/>
    <w:rsid w:val="00F91DDC"/>
    <w:rsid w:val="00FB4A80"/>
    <w:rsid w:val="00FC3C02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371</Words>
  <Characters>2121</Characters>
  <Application>Microsoft Office Word</Application>
  <DocSecurity>0</DocSecurity>
  <Lines>17</Lines>
  <Paragraphs>4</Paragraphs>
  <ScaleCrop>false</ScaleCrop>
  <Company>TURMOB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113</cp:revision>
  <dcterms:created xsi:type="dcterms:W3CDTF">2012-06-01T06:02:00Z</dcterms:created>
  <dcterms:modified xsi:type="dcterms:W3CDTF">2012-07-10T05:26:00Z</dcterms:modified>
</cp:coreProperties>
</file>